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2889CB"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bookmarkStart w:id="0" w:name="_GoBack"/>
      <w:bookmarkEnd w:id="0"/>
      <w:r w:rsidRPr="003A6DF6">
        <w:rPr>
          <w:rFonts w:ascii="Times New Roman" w:eastAsia="Times New Roman" w:hAnsi="Times New Roman" w:cs="Times New Roman"/>
          <w:b/>
          <w:bCs/>
          <w:sz w:val="36"/>
          <w:szCs w:val="36"/>
        </w:rPr>
        <w:t>SOS 591/BIO 598: Biodiversity Conservation &amp; Collaborative Management</w:t>
      </w:r>
    </w:p>
    <w:p w14:paraId="5A3B02F1"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Class Number: 31430, 32562</w:t>
      </w:r>
    </w:p>
    <w:p w14:paraId="24ECBB5B"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Credit Hours: 3</w:t>
      </w:r>
    </w:p>
    <w:p w14:paraId="28DC69CD"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01/07/19-04/26/19</w:t>
      </w:r>
    </w:p>
    <w:p w14:paraId="2AD3ABD9"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Tempe - LSEB52 | Mon &amp; Wed 10:45 AM - 11:34 AM</w:t>
      </w:r>
    </w:p>
    <w:p w14:paraId="15747D86"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Pre-requisite: degree- or nondegree-seeking graduate student</w:t>
      </w:r>
    </w:p>
    <w:p w14:paraId="3100416B"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36"/>
          <w:szCs w:val="36"/>
        </w:rPr>
        <w:t>Instructor</w:t>
      </w:r>
    </w:p>
    <w:p w14:paraId="71DA612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Name: Dr. Candice Carr Kelman</w:t>
      </w:r>
    </w:p>
    <w:p w14:paraId="61CD6F8D"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Email: </w:t>
      </w:r>
      <w:hyperlink r:id="rId5" w:history="1">
        <w:r w:rsidRPr="003A6DF6">
          <w:rPr>
            <w:rFonts w:ascii="Times New Roman" w:eastAsia="Times New Roman" w:hAnsi="Times New Roman" w:cs="Times New Roman"/>
            <w:color w:val="0000FF"/>
            <w:u w:val="single"/>
          </w:rPr>
          <w:t>candice.carr.kelman@asu.edu</w:t>
        </w:r>
      </w:hyperlink>
    </w:p>
    <w:p w14:paraId="213D6D89"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Office: WGHL 422 </w:t>
      </w:r>
    </w:p>
    <w:p w14:paraId="4C9FD72B"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Office Hours: The hour before class or by appointment</w:t>
      </w:r>
    </w:p>
    <w:p w14:paraId="2B0E6184"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36"/>
          <w:szCs w:val="36"/>
        </w:rPr>
        <w:t>Instructor</w:t>
      </w:r>
    </w:p>
    <w:p w14:paraId="61BFD71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Name: Dr. Michael Schoon</w:t>
      </w:r>
    </w:p>
    <w:p w14:paraId="17AAD0BE"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Email: </w:t>
      </w:r>
      <w:hyperlink r:id="rId6" w:history="1">
        <w:r w:rsidRPr="003A6DF6">
          <w:rPr>
            <w:rFonts w:ascii="Times New Roman" w:eastAsia="Times New Roman" w:hAnsi="Times New Roman" w:cs="Times New Roman"/>
            <w:color w:val="0000FF"/>
            <w:u w:val="single"/>
          </w:rPr>
          <w:t>mlschoon@asu.edu</w:t>
        </w:r>
      </w:hyperlink>
    </w:p>
    <w:p w14:paraId="0F16BE87"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Office: WGHL 442 </w:t>
      </w:r>
    </w:p>
    <w:p w14:paraId="7697E8AD"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Office Hours: The hour before class or by appointment</w:t>
      </w:r>
    </w:p>
    <w:p w14:paraId="3CC6386C"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36"/>
          <w:szCs w:val="36"/>
        </w:rPr>
        <w:t>Syllabus Disclaimer</w:t>
      </w:r>
    </w:p>
    <w:p w14:paraId="1B6F5F94"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i/>
          <w:iCs/>
        </w:rPr>
        <w:t>All syllabi are subject to minor changes to meet the needs of the instructor, school, or class. Every effort will be made to avoid changing the course schedule, but the possibility exists that unforeseen events will make syllabus changes necessary. The instructor reserves the right to make changes to the syllabus as deemed necessary. Students will be notified in a timely manner of any syllabus changes. Please check your ASU email and the Announcements on the course site often.</w:t>
      </w:r>
    </w:p>
    <w:p w14:paraId="1AB26A2A"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Course Description</w:t>
      </w:r>
    </w:p>
    <w:p w14:paraId="499F85FA"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lastRenderedPageBreak/>
        <w:t>This course explores the relationship between biodiversity conservation and sustainable development &amp; livelihoods. We will begin with an overview of the history of conservation and how it has changed over time, especially in the last 40 years. In this context, we will look at the recent history of efforts to implement more effective and socially just conservation efforts, critiques of these efforts, and opportunities for the future. There will especially be emphasis on the growing role of adaptive collaborative management in biodiversity conservation efforts, and research about why and how this works. We will also discuss ways in which the history of conservation in practice relates to the history and concept of development, particularly in the developing and less-developed world. Some of the pressing questions that we will explore include:</w:t>
      </w:r>
    </w:p>
    <w:p w14:paraId="07E3B4EB"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What exactly is ‘biodiversity’ and how are the strategies of conservation shifting over recent decades? What are the goals of conservation? Is conservation succeeding or failing in its mission? In what ways? Why?</w:t>
      </w:r>
    </w:p>
    <w:p w14:paraId="45A060D4"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What is the nature of the somewhat polarizing decades-long debate that has been raging within the conservation community? Who do you agree with, and why/not?</w:t>
      </w:r>
    </w:p>
    <w:p w14:paraId="34AF8D77"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Are people and nature fundamentally at odds with one another? If so, what can be done to resolve this problem? If not, what are the synergies that can be emphasized?</w:t>
      </w:r>
    </w:p>
    <w:p w14:paraId="4DD2F00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What counts as wilderness? How have humans shaped landscapes throughout time?</w:t>
      </w:r>
    </w:p>
    <w:p w14:paraId="304E7E81"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What is collaborative management? What is adaptive management? What about adaptive collaborative management? How does it work?</w:t>
      </w:r>
    </w:p>
    <w:p w14:paraId="4E57E56B"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What are some examples of community-based conservation? Why and how can it work?</w:t>
      </w:r>
    </w:p>
    <w:p w14:paraId="1D09097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Is it possible to put a price on the existence of a tiger or an orchid? Is it a good idea to do so?</w:t>
      </w:r>
    </w:p>
    <w:p w14:paraId="7EBC3081"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Are the worlds of conservation and development coming from different perspectives? If so, how can we characterize these perspectives? And if not, how are they similar? Have the worlds of conservation and development mostly existed in separate intellectual and political spaces, only colliding in the late 20</w:t>
      </w:r>
      <w:r w:rsidRPr="003A6DF6">
        <w:rPr>
          <w:rFonts w:ascii="Times New Roman" w:eastAsia="Times New Roman" w:hAnsi="Times New Roman" w:cs="Times New Roman"/>
          <w:vertAlign w:val="superscript"/>
        </w:rPr>
        <w:t>th</w:t>
      </w:r>
      <w:r w:rsidRPr="003A6DF6">
        <w:rPr>
          <w:rFonts w:ascii="Times New Roman" w:eastAsia="Times New Roman" w:hAnsi="Times New Roman" w:cs="Times New Roman"/>
        </w:rPr>
        <w:t xml:space="preserve"> century, or have they been joint parts of the colonial legacy around the globe? Is the truth somewhere between these extremes?</w:t>
      </w:r>
    </w:p>
    <w:p w14:paraId="149DB9C1"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How can humanity both conserve the rich biodiversity of the tropics and secure sustainable and fair livelihoods for the people of these lands? What is required to do this? Is it possible?</w:t>
      </w:r>
    </w:p>
    <w:p w14:paraId="01EBE261"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Ideally you will come out of this class with knowledge of some successful approaches to connecting social justice and biodiversity efforts, and some ideas about how to find synergies between conservation and development approaches, and you might explode some previously held assumptions in the process. You may come out of this class with more questions than answers, but you will, at the very least, be better informed to discuss this contentious and important complex of issues.</w:t>
      </w:r>
    </w:p>
    <w:p w14:paraId="51585EBB"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lastRenderedPageBreak/>
        <w:t>Learning Outcomes</w:t>
      </w:r>
    </w:p>
    <w:p w14:paraId="46370E51"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As a result of taking this class, you should be able to:</w:t>
      </w:r>
    </w:p>
    <w:p w14:paraId="492D16DC" w14:textId="77777777" w:rsidR="003A6DF6" w:rsidRPr="003A6DF6" w:rsidRDefault="003A6DF6" w:rsidP="003A6DF6">
      <w:pPr>
        <w:numPr>
          <w:ilvl w:val="0"/>
          <w:numId w:val="1"/>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Discuss challenges and tradeoffs related to biodiversity conservation in most developing countries, and give some examples of these and some potentially successful solutions to the vexing challenges presented by 21</w:t>
      </w:r>
      <w:r w:rsidRPr="003A6DF6">
        <w:rPr>
          <w:rFonts w:ascii="Times New Roman" w:eastAsia="Times New Roman" w:hAnsi="Times New Roman" w:cs="Times New Roman"/>
          <w:vertAlign w:val="superscript"/>
        </w:rPr>
        <w:t>st</w:t>
      </w:r>
      <w:r w:rsidRPr="003A6DF6">
        <w:rPr>
          <w:rFonts w:ascii="Times New Roman" w:eastAsia="Times New Roman" w:hAnsi="Times New Roman" w:cs="Times New Roman"/>
        </w:rPr>
        <w:t xml:space="preserve"> century conservation and development realities</w:t>
      </w:r>
    </w:p>
    <w:p w14:paraId="61D2E32A" w14:textId="77777777" w:rsidR="003A6DF6" w:rsidRPr="003A6DF6" w:rsidRDefault="003A6DF6" w:rsidP="003A6DF6">
      <w:pPr>
        <w:numPr>
          <w:ilvl w:val="0"/>
          <w:numId w:val="1"/>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Illustrate how and why the history of conservation both facilitates and impedes the current practice of biodiversity conservation</w:t>
      </w:r>
    </w:p>
    <w:p w14:paraId="7261BC03" w14:textId="77777777" w:rsidR="003A6DF6" w:rsidRPr="003A6DF6" w:rsidRDefault="003A6DF6" w:rsidP="003A6DF6">
      <w:pPr>
        <w:numPr>
          <w:ilvl w:val="0"/>
          <w:numId w:val="1"/>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Define (and differentiate between) terms such as co-management, payment for ecosystem services, community-based conservation, and integrated conservation and development</w:t>
      </w:r>
    </w:p>
    <w:p w14:paraId="2A76C5AA" w14:textId="77777777" w:rsidR="003A6DF6" w:rsidRPr="003A6DF6" w:rsidRDefault="003A6DF6" w:rsidP="003A6DF6">
      <w:pPr>
        <w:numPr>
          <w:ilvl w:val="0"/>
          <w:numId w:val="1"/>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Accurately portray multiple perspectives within the ongoing parks-peoples debate</w:t>
      </w:r>
    </w:p>
    <w:p w14:paraId="2989C6ED" w14:textId="77777777" w:rsidR="003A6DF6" w:rsidRPr="003A6DF6" w:rsidRDefault="003A6DF6" w:rsidP="003A6DF6">
      <w:pPr>
        <w:numPr>
          <w:ilvl w:val="0"/>
          <w:numId w:val="1"/>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Explain the scientific basis for biodiversity conservation and cite examples of why it exists</w:t>
      </w:r>
    </w:p>
    <w:p w14:paraId="25A14678" w14:textId="77777777" w:rsidR="003A6DF6" w:rsidRPr="003A6DF6" w:rsidRDefault="003A6DF6" w:rsidP="003A6DF6">
      <w:pPr>
        <w:numPr>
          <w:ilvl w:val="0"/>
          <w:numId w:val="1"/>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Describe the histories of the terms ‘development’ and “conservation” and various approaches to the meanings of these</w:t>
      </w:r>
    </w:p>
    <w:p w14:paraId="3719314D"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Course Delivery and Access</w:t>
      </w:r>
    </w:p>
    <w:p w14:paraId="5C852A4B"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Students in this course will meet regularly as scheduled. Course content will be delivered through lectures, recitations, textbooks, videos, guest speakers, and assessments. Additionally, some course content and assignments will be accessed online in Canvas, which can be accessed through </w:t>
      </w:r>
      <w:hyperlink r:id="rId7" w:history="1">
        <w:r w:rsidRPr="003A6DF6">
          <w:rPr>
            <w:rFonts w:ascii="Times New Roman" w:eastAsia="Times New Roman" w:hAnsi="Times New Roman" w:cs="Times New Roman"/>
            <w:color w:val="0000FF"/>
            <w:u w:val="single"/>
          </w:rPr>
          <w:t>my.asu.edu.</w:t>
        </w:r>
      </w:hyperlink>
    </w:p>
    <w:p w14:paraId="7BB4587B"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Course Textbook and Materials</w:t>
      </w:r>
    </w:p>
    <w:p w14:paraId="50B373B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Articles and chapters are listed following the course schedule below and will be posted on Canvas in a weekly format. A separate list of full citations (as well as further reading) is available as well.</w:t>
      </w:r>
    </w:p>
    <w:p w14:paraId="0F6A6E2D"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Grading Scale</w:t>
      </w:r>
    </w:p>
    <w:p w14:paraId="01116727"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This course will be graded on an A-E plus/minus scale.</w:t>
      </w:r>
    </w:p>
    <w:tbl>
      <w:tblPr>
        <w:tblW w:w="2361"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61"/>
        <w:gridCol w:w="2102"/>
        <w:gridCol w:w="1257"/>
      </w:tblGrid>
      <w:tr w:rsidR="003A6DF6" w:rsidRPr="003A6DF6" w14:paraId="3B191F87" w14:textId="77777777" w:rsidTr="003A6DF6">
        <w:tc>
          <w:tcPr>
            <w:tcW w:w="0" w:type="auto"/>
            <w:gridSpan w:val="3"/>
            <w:tcBorders>
              <w:top w:val="nil"/>
              <w:left w:val="nil"/>
              <w:bottom w:val="nil"/>
              <w:right w:val="nil"/>
            </w:tcBorders>
            <w:vAlign w:val="center"/>
            <w:hideMark/>
          </w:tcPr>
          <w:p w14:paraId="13AEFC7E" w14:textId="77777777" w:rsidR="003A6DF6" w:rsidRPr="003A6DF6" w:rsidRDefault="003A6DF6" w:rsidP="003A6DF6">
            <w:pPr>
              <w:jc w:val="center"/>
              <w:rPr>
                <w:rFonts w:ascii="Times New Roman" w:eastAsia="Times New Roman" w:hAnsi="Times New Roman" w:cs="Times New Roman"/>
              </w:rPr>
            </w:pPr>
            <w:r w:rsidRPr="003A6DF6">
              <w:rPr>
                <w:rFonts w:ascii="Times New Roman" w:eastAsia="Times New Roman" w:hAnsi="Times New Roman" w:cs="Times New Roman"/>
              </w:rPr>
              <w:t>Grading Schema</w:t>
            </w:r>
          </w:p>
        </w:tc>
      </w:tr>
      <w:tr w:rsidR="003A6DF6" w:rsidRPr="003A6DF6" w14:paraId="1D2B269C"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4DDB5466" w14:textId="77777777" w:rsidR="003A6DF6" w:rsidRPr="003A6DF6" w:rsidRDefault="003A6DF6" w:rsidP="003A6DF6">
            <w:pPr>
              <w:jc w:val="center"/>
              <w:rPr>
                <w:rFonts w:ascii="Times New Roman" w:eastAsia="Times New Roman" w:hAnsi="Times New Roman" w:cs="Times New Roman"/>
                <w:b/>
                <w:bCs/>
              </w:rPr>
            </w:pPr>
            <w:r w:rsidRPr="003A6DF6">
              <w:rPr>
                <w:rFonts w:ascii="Times New Roman" w:eastAsia="Times New Roman" w:hAnsi="Times New Roman" w:cs="Times New Roman"/>
                <w:b/>
                <w:bCs/>
              </w:rPr>
              <w:t>Points</w:t>
            </w:r>
          </w:p>
        </w:tc>
        <w:tc>
          <w:tcPr>
            <w:tcW w:w="741" w:type="pct"/>
            <w:tcBorders>
              <w:top w:val="outset" w:sz="6" w:space="0" w:color="auto"/>
              <w:left w:val="outset" w:sz="6" w:space="0" w:color="auto"/>
              <w:bottom w:val="outset" w:sz="6" w:space="0" w:color="auto"/>
              <w:right w:val="outset" w:sz="6" w:space="0" w:color="auto"/>
            </w:tcBorders>
            <w:vAlign w:val="center"/>
            <w:hideMark/>
          </w:tcPr>
          <w:p w14:paraId="7241A0D2" w14:textId="77777777" w:rsidR="003A6DF6" w:rsidRPr="003A6DF6" w:rsidRDefault="003A6DF6" w:rsidP="003A6DF6">
            <w:pPr>
              <w:jc w:val="center"/>
              <w:rPr>
                <w:rFonts w:ascii="Times New Roman" w:eastAsia="Times New Roman" w:hAnsi="Times New Roman" w:cs="Times New Roman"/>
                <w:b/>
                <w:bCs/>
              </w:rPr>
            </w:pPr>
            <w:r w:rsidRPr="003A6DF6">
              <w:rPr>
                <w:rFonts w:ascii="Times New Roman" w:eastAsia="Times New Roman" w:hAnsi="Times New Roman" w:cs="Times New Roman"/>
                <w:b/>
                <w:bCs/>
              </w:rPr>
              <w:t>%</w:t>
            </w:r>
          </w:p>
        </w:tc>
        <w:tc>
          <w:tcPr>
            <w:tcW w:w="399" w:type="pct"/>
            <w:tcBorders>
              <w:top w:val="outset" w:sz="6" w:space="0" w:color="auto"/>
              <w:left w:val="outset" w:sz="6" w:space="0" w:color="auto"/>
              <w:bottom w:val="outset" w:sz="6" w:space="0" w:color="auto"/>
              <w:right w:val="outset" w:sz="6" w:space="0" w:color="auto"/>
            </w:tcBorders>
            <w:vAlign w:val="center"/>
            <w:hideMark/>
          </w:tcPr>
          <w:p w14:paraId="5AC39B56" w14:textId="77777777" w:rsidR="003A6DF6" w:rsidRPr="003A6DF6" w:rsidRDefault="003A6DF6" w:rsidP="003A6DF6">
            <w:pPr>
              <w:jc w:val="center"/>
              <w:rPr>
                <w:rFonts w:ascii="Times New Roman" w:eastAsia="Times New Roman" w:hAnsi="Times New Roman" w:cs="Times New Roman"/>
                <w:b/>
                <w:bCs/>
              </w:rPr>
            </w:pPr>
            <w:r w:rsidRPr="003A6DF6">
              <w:rPr>
                <w:rFonts w:ascii="Times New Roman" w:eastAsia="Times New Roman" w:hAnsi="Times New Roman" w:cs="Times New Roman"/>
                <w:b/>
                <w:bCs/>
              </w:rPr>
              <w:t>Grade</w:t>
            </w:r>
          </w:p>
        </w:tc>
      </w:tr>
      <w:tr w:rsidR="003A6DF6" w:rsidRPr="003A6DF6" w14:paraId="71DF6F9D"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1B74E586"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97 - 100</w:t>
            </w:r>
          </w:p>
        </w:tc>
        <w:tc>
          <w:tcPr>
            <w:tcW w:w="741" w:type="pct"/>
            <w:tcBorders>
              <w:top w:val="outset" w:sz="6" w:space="0" w:color="auto"/>
              <w:left w:val="outset" w:sz="6" w:space="0" w:color="auto"/>
              <w:bottom w:val="outset" w:sz="6" w:space="0" w:color="auto"/>
              <w:right w:val="outset" w:sz="6" w:space="0" w:color="auto"/>
            </w:tcBorders>
            <w:vAlign w:val="center"/>
            <w:hideMark/>
          </w:tcPr>
          <w:p w14:paraId="6E95F7A8"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97 - 100%</w:t>
            </w:r>
          </w:p>
        </w:tc>
        <w:tc>
          <w:tcPr>
            <w:tcW w:w="399" w:type="pct"/>
            <w:tcBorders>
              <w:top w:val="outset" w:sz="6" w:space="0" w:color="auto"/>
              <w:left w:val="outset" w:sz="6" w:space="0" w:color="auto"/>
              <w:bottom w:val="outset" w:sz="6" w:space="0" w:color="auto"/>
              <w:right w:val="outset" w:sz="6" w:space="0" w:color="auto"/>
            </w:tcBorders>
            <w:vAlign w:val="center"/>
            <w:hideMark/>
          </w:tcPr>
          <w:p w14:paraId="0A4AC7CB"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A+</w:t>
            </w:r>
          </w:p>
        </w:tc>
      </w:tr>
      <w:tr w:rsidR="003A6DF6" w:rsidRPr="003A6DF6" w14:paraId="70E05C94"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23C9D512"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93 - 96</w:t>
            </w:r>
          </w:p>
        </w:tc>
        <w:tc>
          <w:tcPr>
            <w:tcW w:w="741" w:type="pct"/>
            <w:tcBorders>
              <w:top w:val="outset" w:sz="6" w:space="0" w:color="auto"/>
              <w:left w:val="outset" w:sz="6" w:space="0" w:color="auto"/>
              <w:bottom w:val="outset" w:sz="6" w:space="0" w:color="auto"/>
              <w:right w:val="outset" w:sz="6" w:space="0" w:color="auto"/>
            </w:tcBorders>
            <w:vAlign w:val="center"/>
            <w:hideMark/>
          </w:tcPr>
          <w:p w14:paraId="10FFD0E9"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93 - 96%</w:t>
            </w:r>
          </w:p>
        </w:tc>
        <w:tc>
          <w:tcPr>
            <w:tcW w:w="399" w:type="pct"/>
            <w:tcBorders>
              <w:top w:val="outset" w:sz="6" w:space="0" w:color="auto"/>
              <w:left w:val="outset" w:sz="6" w:space="0" w:color="auto"/>
              <w:bottom w:val="outset" w:sz="6" w:space="0" w:color="auto"/>
              <w:right w:val="outset" w:sz="6" w:space="0" w:color="auto"/>
            </w:tcBorders>
            <w:vAlign w:val="center"/>
            <w:hideMark/>
          </w:tcPr>
          <w:p w14:paraId="40FE250E"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A</w:t>
            </w:r>
          </w:p>
        </w:tc>
      </w:tr>
      <w:tr w:rsidR="003A6DF6" w:rsidRPr="003A6DF6" w14:paraId="3247CC07"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6A4C9971"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90 - 92</w:t>
            </w:r>
          </w:p>
        </w:tc>
        <w:tc>
          <w:tcPr>
            <w:tcW w:w="741" w:type="pct"/>
            <w:tcBorders>
              <w:top w:val="outset" w:sz="6" w:space="0" w:color="auto"/>
              <w:left w:val="outset" w:sz="6" w:space="0" w:color="auto"/>
              <w:bottom w:val="outset" w:sz="6" w:space="0" w:color="auto"/>
              <w:right w:val="outset" w:sz="6" w:space="0" w:color="auto"/>
            </w:tcBorders>
            <w:vAlign w:val="center"/>
            <w:hideMark/>
          </w:tcPr>
          <w:p w14:paraId="17A771AC"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90 - 92%</w:t>
            </w:r>
          </w:p>
        </w:tc>
        <w:tc>
          <w:tcPr>
            <w:tcW w:w="399" w:type="pct"/>
            <w:tcBorders>
              <w:top w:val="outset" w:sz="6" w:space="0" w:color="auto"/>
              <w:left w:val="outset" w:sz="6" w:space="0" w:color="auto"/>
              <w:bottom w:val="outset" w:sz="6" w:space="0" w:color="auto"/>
              <w:right w:val="outset" w:sz="6" w:space="0" w:color="auto"/>
            </w:tcBorders>
            <w:vAlign w:val="center"/>
            <w:hideMark/>
          </w:tcPr>
          <w:p w14:paraId="0DC0A35C"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A-</w:t>
            </w:r>
          </w:p>
        </w:tc>
      </w:tr>
      <w:tr w:rsidR="003A6DF6" w:rsidRPr="003A6DF6" w14:paraId="5C4E9C49"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076AE696"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87 - 89</w:t>
            </w:r>
          </w:p>
        </w:tc>
        <w:tc>
          <w:tcPr>
            <w:tcW w:w="741" w:type="pct"/>
            <w:tcBorders>
              <w:top w:val="outset" w:sz="6" w:space="0" w:color="auto"/>
              <w:left w:val="outset" w:sz="6" w:space="0" w:color="auto"/>
              <w:bottom w:val="outset" w:sz="6" w:space="0" w:color="auto"/>
              <w:right w:val="outset" w:sz="6" w:space="0" w:color="auto"/>
            </w:tcBorders>
            <w:vAlign w:val="center"/>
            <w:hideMark/>
          </w:tcPr>
          <w:p w14:paraId="2B1CCB41"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87 - 89%</w:t>
            </w:r>
          </w:p>
        </w:tc>
        <w:tc>
          <w:tcPr>
            <w:tcW w:w="399" w:type="pct"/>
            <w:tcBorders>
              <w:top w:val="outset" w:sz="6" w:space="0" w:color="auto"/>
              <w:left w:val="outset" w:sz="6" w:space="0" w:color="auto"/>
              <w:bottom w:val="outset" w:sz="6" w:space="0" w:color="auto"/>
              <w:right w:val="outset" w:sz="6" w:space="0" w:color="auto"/>
            </w:tcBorders>
            <w:vAlign w:val="center"/>
            <w:hideMark/>
          </w:tcPr>
          <w:p w14:paraId="0AAE5063"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B+</w:t>
            </w:r>
          </w:p>
        </w:tc>
      </w:tr>
      <w:tr w:rsidR="003A6DF6" w:rsidRPr="003A6DF6" w14:paraId="16BC02FA"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4ECE90CF"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83 - 86</w:t>
            </w:r>
          </w:p>
        </w:tc>
        <w:tc>
          <w:tcPr>
            <w:tcW w:w="741" w:type="pct"/>
            <w:tcBorders>
              <w:top w:val="outset" w:sz="6" w:space="0" w:color="auto"/>
              <w:left w:val="outset" w:sz="6" w:space="0" w:color="auto"/>
              <w:bottom w:val="outset" w:sz="6" w:space="0" w:color="auto"/>
              <w:right w:val="outset" w:sz="6" w:space="0" w:color="auto"/>
            </w:tcBorders>
            <w:vAlign w:val="center"/>
            <w:hideMark/>
          </w:tcPr>
          <w:p w14:paraId="65962B71"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83 - 86%</w:t>
            </w:r>
          </w:p>
        </w:tc>
        <w:tc>
          <w:tcPr>
            <w:tcW w:w="399" w:type="pct"/>
            <w:tcBorders>
              <w:top w:val="outset" w:sz="6" w:space="0" w:color="auto"/>
              <w:left w:val="outset" w:sz="6" w:space="0" w:color="auto"/>
              <w:bottom w:val="outset" w:sz="6" w:space="0" w:color="auto"/>
              <w:right w:val="outset" w:sz="6" w:space="0" w:color="auto"/>
            </w:tcBorders>
            <w:vAlign w:val="center"/>
            <w:hideMark/>
          </w:tcPr>
          <w:p w14:paraId="4D0D6A83"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B</w:t>
            </w:r>
          </w:p>
        </w:tc>
      </w:tr>
      <w:tr w:rsidR="003A6DF6" w:rsidRPr="003A6DF6" w14:paraId="7203B8CE"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45CAED10"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80 - 82</w:t>
            </w:r>
          </w:p>
        </w:tc>
        <w:tc>
          <w:tcPr>
            <w:tcW w:w="741" w:type="pct"/>
            <w:tcBorders>
              <w:top w:val="outset" w:sz="6" w:space="0" w:color="auto"/>
              <w:left w:val="outset" w:sz="6" w:space="0" w:color="auto"/>
              <w:bottom w:val="outset" w:sz="6" w:space="0" w:color="auto"/>
              <w:right w:val="outset" w:sz="6" w:space="0" w:color="auto"/>
            </w:tcBorders>
            <w:vAlign w:val="center"/>
            <w:hideMark/>
          </w:tcPr>
          <w:p w14:paraId="14F55A27"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80 - 82%</w:t>
            </w:r>
          </w:p>
        </w:tc>
        <w:tc>
          <w:tcPr>
            <w:tcW w:w="399" w:type="pct"/>
            <w:tcBorders>
              <w:top w:val="outset" w:sz="6" w:space="0" w:color="auto"/>
              <w:left w:val="outset" w:sz="6" w:space="0" w:color="auto"/>
              <w:bottom w:val="outset" w:sz="6" w:space="0" w:color="auto"/>
              <w:right w:val="outset" w:sz="6" w:space="0" w:color="auto"/>
            </w:tcBorders>
            <w:vAlign w:val="center"/>
            <w:hideMark/>
          </w:tcPr>
          <w:p w14:paraId="23904DC1"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B-</w:t>
            </w:r>
          </w:p>
        </w:tc>
      </w:tr>
      <w:tr w:rsidR="003A6DF6" w:rsidRPr="003A6DF6" w14:paraId="503263A5"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13D5B2EC"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77 - 79</w:t>
            </w:r>
          </w:p>
        </w:tc>
        <w:tc>
          <w:tcPr>
            <w:tcW w:w="741" w:type="pct"/>
            <w:tcBorders>
              <w:top w:val="outset" w:sz="6" w:space="0" w:color="auto"/>
              <w:left w:val="outset" w:sz="6" w:space="0" w:color="auto"/>
              <w:bottom w:val="outset" w:sz="6" w:space="0" w:color="auto"/>
              <w:right w:val="outset" w:sz="6" w:space="0" w:color="auto"/>
            </w:tcBorders>
            <w:vAlign w:val="center"/>
            <w:hideMark/>
          </w:tcPr>
          <w:p w14:paraId="083DB36C"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77 - 79%</w:t>
            </w:r>
          </w:p>
        </w:tc>
        <w:tc>
          <w:tcPr>
            <w:tcW w:w="399" w:type="pct"/>
            <w:tcBorders>
              <w:top w:val="outset" w:sz="6" w:space="0" w:color="auto"/>
              <w:left w:val="outset" w:sz="6" w:space="0" w:color="auto"/>
              <w:bottom w:val="outset" w:sz="6" w:space="0" w:color="auto"/>
              <w:right w:val="outset" w:sz="6" w:space="0" w:color="auto"/>
            </w:tcBorders>
            <w:vAlign w:val="center"/>
            <w:hideMark/>
          </w:tcPr>
          <w:p w14:paraId="4218E5BD"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C+</w:t>
            </w:r>
          </w:p>
        </w:tc>
      </w:tr>
      <w:tr w:rsidR="003A6DF6" w:rsidRPr="003A6DF6" w14:paraId="6C962074"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38257E91"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lastRenderedPageBreak/>
              <w:t>70 - 76</w:t>
            </w:r>
          </w:p>
        </w:tc>
        <w:tc>
          <w:tcPr>
            <w:tcW w:w="741" w:type="pct"/>
            <w:tcBorders>
              <w:top w:val="outset" w:sz="6" w:space="0" w:color="auto"/>
              <w:left w:val="outset" w:sz="6" w:space="0" w:color="auto"/>
              <w:bottom w:val="outset" w:sz="6" w:space="0" w:color="auto"/>
              <w:right w:val="outset" w:sz="6" w:space="0" w:color="auto"/>
            </w:tcBorders>
            <w:vAlign w:val="center"/>
            <w:hideMark/>
          </w:tcPr>
          <w:p w14:paraId="11756169"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70 - 76%</w:t>
            </w:r>
          </w:p>
        </w:tc>
        <w:tc>
          <w:tcPr>
            <w:tcW w:w="399" w:type="pct"/>
            <w:tcBorders>
              <w:top w:val="outset" w:sz="6" w:space="0" w:color="auto"/>
              <w:left w:val="outset" w:sz="6" w:space="0" w:color="auto"/>
              <w:bottom w:val="outset" w:sz="6" w:space="0" w:color="auto"/>
              <w:right w:val="outset" w:sz="6" w:space="0" w:color="auto"/>
            </w:tcBorders>
            <w:vAlign w:val="center"/>
            <w:hideMark/>
          </w:tcPr>
          <w:p w14:paraId="5F26BFBA"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C</w:t>
            </w:r>
          </w:p>
        </w:tc>
      </w:tr>
      <w:tr w:rsidR="003A6DF6" w:rsidRPr="003A6DF6" w14:paraId="2BDD2D7F"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5667F2D5"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60 - 69</w:t>
            </w:r>
          </w:p>
        </w:tc>
        <w:tc>
          <w:tcPr>
            <w:tcW w:w="741" w:type="pct"/>
            <w:tcBorders>
              <w:top w:val="outset" w:sz="6" w:space="0" w:color="auto"/>
              <w:left w:val="outset" w:sz="6" w:space="0" w:color="auto"/>
              <w:bottom w:val="outset" w:sz="6" w:space="0" w:color="auto"/>
              <w:right w:val="outset" w:sz="6" w:space="0" w:color="auto"/>
            </w:tcBorders>
            <w:vAlign w:val="center"/>
            <w:hideMark/>
          </w:tcPr>
          <w:p w14:paraId="6CDBB669"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60 - 69%</w:t>
            </w:r>
          </w:p>
        </w:tc>
        <w:tc>
          <w:tcPr>
            <w:tcW w:w="399" w:type="pct"/>
            <w:tcBorders>
              <w:top w:val="outset" w:sz="6" w:space="0" w:color="auto"/>
              <w:left w:val="outset" w:sz="6" w:space="0" w:color="auto"/>
              <w:bottom w:val="outset" w:sz="6" w:space="0" w:color="auto"/>
              <w:right w:val="outset" w:sz="6" w:space="0" w:color="auto"/>
            </w:tcBorders>
            <w:vAlign w:val="center"/>
            <w:hideMark/>
          </w:tcPr>
          <w:p w14:paraId="43F1BC9A"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D</w:t>
            </w:r>
          </w:p>
        </w:tc>
      </w:tr>
      <w:tr w:rsidR="003A6DF6" w:rsidRPr="003A6DF6" w14:paraId="28C66248"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5F273AE6"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 0 - 59</w:t>
            </w:r>
          </w:p>
        </w:tc>
        <w:tc>
          <w:tcPr>
            <w:tcW w:w="741" w:type="pct"/>
            <w:tcBorders>
              <w:top w:val="outset" w:sz="6" w:space="0" w:color="auto"/>
              <w:left w:val="outset" w:sz="6" w:space="0" w:color="auto"/>
              <w:bottom w:val="outset" w:sz="6" w:space="0" w:color="auto"/>
              <w:right w:val="outset" w:sz="6" w:space="0" w:color="auto"/>
            </w:tcBorders>
            <w:vAlign w:val="center"/>
            <w:hideMark/>
          </w:tcPr>
          <w:p w14:paraId="7F0B7A9E"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59% or &lt;</w:t>
            </w:r>
          </w:p>
        </w:tc>
        <w:tc>
          <w:tcPr>
            <w:tcW w:w="399" w:type="pct"/>
            <w:tcBorders>
              <w:top w:val="outset" w:sz="6" w:space="0" w:color="auto"/>
              <w:left w:val="outset" w:sz="6" w:space="0" w:color="auto"/>
              <w:bottom w:val="outset" w:sz="6" w:space="0" w:color="auto"/>
              <w:right w:val="outset" w:sz="6" w:space="0" w:color="auto"/>
            </w:tcBorders>
            <w:vAlign w:val="center"/>
            <w:hideMark/>
          </w:tcPr>
          <w:p w14:paraId="766C0345"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E</w:t>
            </w:r>
          </w:p>
        </w:tc>
      </w:tr>
      <w:tr w:rsidR="003A6DF6" w:rsidRPr="003A6DF6" w14:paraId="0297CD33"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5DB53381" w14:textId="77777777" w:rsidR="003A6DF6" w:rsidRPr="003A6DF6" w:rsidRDefault="003A6DF6" w:rsidP="003A6DF6">
            <w:pPr>
              <w:rPr>
                <w:rFonts w:ascii="Times New Roman" w:eastAsia="Times New Roman" w:hAnsi="Times New Roman" w:cs="Times New Roman"/>
              </w:rPr>
            </w:pPr>
          </w:p>
        </w:tc>
        <w:tc>
          <w:tcPr>
            <w:tcW w:w="741" w:type="pct"/>
            <w:tcBorders>
              <w:top w:val="outset" w:sz="6" w:space="0" w:color="auto"/>
              <w:left w:val="outset" w:sz="6" w:space="0" w:color="auto"/>
              <w:bottom w:val="outset" w:sz="6" w:space="0" w:color="auto"/>
              <w:right w:val="outset" w:sz="6" w:space="0" w:color="auto"/>
            </w:tcBorders>
            <w:vAlign w:val="center"/>
            <w:hideMark/>
          </w:tcPr>
          <w:p w14:paraId="0B85C36B"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 - </w:t>
            </w:r>
          </w:p>
        </w:tc>
        <w:tc>
          <w:tcPr>
            <w:tcW w:w="399" w:type="pct"/>
            <w:tcBorders>
              <w:top w:val="outset" w:sz="6" w:space="0" w:color="auto"/>
              <w:left w:val="outset" w:sz="6" w:space="0" w:color="auto"/>
              <w:bottom w:val="outset" w:sz="6" w:space="0" w:color="auto"/>
              <w:right w:val="outset" w:sz="6" w:space="0" w:color="auto"/>
            </w:tcBorders>
            <w:vAlign w:val="center"/>
            <w:hideMark/>
          </w:tcPr>
          <w:p w14:paraId="25A69466"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EN - Failing for Not Participating</w:t>
            </w:r>
          </w:p>
        </w:tc>
      </w:tr>
      <w:tr w:rsidR="003A6DF6" w:rsidRPr="003A6DF6" w14:paraId="454FDB63" w14:textId="77777777" w:rsidTr="003A6DF6">
        <w:tc>
          <w:tcPr>
            <w:tcW w:w="383" w:type="pct"/>
            <w:tcBorders>
              <w:top w:val="outset" w:sz="6" w:space="0" w:color="auto"/>
              <w:left w:val="outset" w:sz="6" w:space="0" w:color="auto"/>
              <w:bottom w:val="outset" w:sz="6" w:space="0" w:color="auto"/>
              <w:right w:val="outset" w:sz="6" w:space="0" w:color="auto"/>
            </w:tcBorders>
            <w:vAlign w:val="center"/>
            <w:hideMark/>
          </w:tcPr>
          <w:p w14:paraId="14A7BD3A" w14:textId="77777777" w:rsidR="003A6DF6" w:rsidRPr="003A6DF6" w:rsidRDefault="003A6DF6" w:rsidP="003A6DF6">
            <w:pPr>
              <w:rPr>
                <w:rFonts w:ascii="Times New Roman" w:eastAsia="Times New Roman" w:hAnsi="Times New Roman" w:cs="Times New Roman"/>
              </w:rPr>
            </w:pPr>
          </w:p>
        </w:tc>
        <w:tc>
          <w:tcPr>
            <w:tcW w:w="741" w:type="pct"/>
            <w:tcBorders>
              <w:top w:val="outset" w:sz="6" w:space="0" w:color="auto"/>
              <w:left w:val="outset" w:sz="6" w:space="0" w:color="auto"/>
              <w:bottom w:val="outset" w:sz="6" w:space="0" w:color="auto"/>
              <w:right w:val="outset" w:sz="6" w:space="0" w:color="auto"/>
            </w:tcBorders>
            <w:vAlign w:val="center"/>
            <w:hideMark/>
          </w:tcPr>
          <w:p w14:paraId="0213072F"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 - </w:t>
            </w:r>
          </w:p>
        </w:tc>
        <w:tc>
          <w:tcPr>
            <w:tcW w:w="399" w:type="pct"/>
            <w:tcBorders>
              <w:top w:val="outset" w:sz="6" w:space="0" w:color="auto"/>
              <w:left w:val="outset" w:sz="6" w:space="0" w:color="auto"/>
              <w:bottom w:val="outset" w:sz="6" w:space="0" w:color="auto"/>
              <w:right w:val="outset" w:sz="6" w:space="0" w:color="auto"/>
            </w:tcBorders>
            <w:vAlign w:val="center"/>
            <w:hideMark/>
          </w:tcPr>
          <w:p w14:paraId="2F074787"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XE - Academic Dishonesty</w:t>
            </w:r>
          </w:p>
        </w:tc>
      </w:tr>
    </w:tbl>
    <w:p w14:paraId="23A0518A"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w:t>
      </w:r>
    </w:p>
    <w:p w14:paraId="5864D62D"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Assignment of letter grades is based on a percentage of points earned.</w:t>
      </w:r>
    </w:p>
    <w:tbl>
      <w:tblPr>
        <w:tblW w:w="4531"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650"/>
        <w:gridCol w:w="684"/>
        <w:gridCol w:w="3148"/>
      </w:tblGrid>
      <w:tr w:rsidR="003A6DF6" w:rsidRPr="003A6DF6" w14:paraId="5DAFB850" w14:textId="77777777" w:rsidTr="003A6DF6">
        <w:trPr>
          <w:trHeight w:val="345"/>
        </w:trPr>
        <w:tc>
          <w:tcPr>
            <w:tcW w:w="0" w:type="auto"/>
            <w:gridSpan w:val="3"/>
            <w:tcBorders>
              <w:top w:val="nil"/>
              <w:left w:val="nil"/>
              <w:bottom w:val="nil"/>
              <w:right w:val="nil"/>
            </w:tcBorders>
            <w:vAlign w:val="center"/>
            <w:hideMark/>
          </w:tcPr>
          <w:p w14:paraId="2F795B48" w14:textId="77777777" w:rsidR="003A6DF6" w:rsidRPr="003A6DF6" w:rsidRDefault="003A6DF6" w:rsidP="003A6DF6">
            <w:pPr>
              <w:jc w:val="center"/>
              <w:rPr>
                <w:rFonts w:ascii="Times New Roman" w:eastAsia="Times New Roman" w:hAnsi="Times New Roman" w:cs="Times New Roman"/>
              </w:rPr>
            </w:pPr>
            <w:r w:rsidRPr="003A6DF6">
              <w:rPr>
                <w:rFonts w:ascii="Times New Roman" w:eastAsia="Times New Roman" w:hAnsi="Times New Roman" w:cs="Times New Roman"/>
              </w:rPr>
              <w:t>Assessments and Percentages</w:t>
            </w:r>
          </w:p>
        </w:tc>
      </w:tr>
      <w:tr w:rsidR="003A6DF6" w:rsidRPr="003A6DF6" w14:paraId="6BC5C514" w14:textId="77777777" w:rsidTr="003A6DF6">
        <w:trPr>
          <w:trHeight w:val="345"/>
        </w:trPr>
        <w:tc>
          <w:tcPr>
            <w:tcW w:w="2500" w:type="pct"/>
            <w:tcBorders>
              <w:top w:val="outset" w:sz="6" w:space="0" w:color="auto"/>
              <w:left w:val="outset" w:sz="6" w:space="0" w:color="auto"/>
              <w:bottom w:val="outset" w:sz="6" w:space="0" w:color="auto"/>
              <w:right w:val="outset" w:sz="6" w:space="0" w:color="auto"/>
            </w:tcBorders>
            <w:vAlign w:val="center"/>
            <w:hideMark/>
          </w:tcPr>
          <w:p w14:paraId="393EC921" w14:textId="77777777" w:rsidR="003A6DF6" w:rsidRPr="003A6DF6" w:rsidRDefault="003A6DF6" w:rsidP="003A6DF6">
            <w:pPr>
              <w:rPr>
                <w:rFonts w:ascii="Times New Roman" w:eastAsia="Times New Roman" w:hAnsi="Times New Roman" w:cs="Times New Roman"/>
                <w:b/>
                <w:bCs/>
              </w:rPr>
            </w:pPr>
            <w:r w:rsidRPr="003A6DF6">
              <w:rPr>
                <w:rFonts w:ascii="Times New Roman" w:eastAsia="Times New Roman" w:hAnsi="Times New Roman" w:cs="Times New Roman"/>
                <w:b/>
                <w:bCs/>
              </w:rPr>
              <w:t>Assessment</w:t>
            </w:r>
          </w:p>
        </w:tc>
        <w:tc>
          <w:tcPr>
            <w:tcW w:w="333" w:type="pct"/>
            <w:tcBorders>
              <w:top w:val="outset" w:sz="6" w:space="0" w:color="auto"/>
              <w:left w:val="outset" w:sz="6" w:space="0" w:color="auto"/>
              <w:bottom w:val="outset" w:sz="6" w:space="0" w:color="auto"/>
              <w:right w:val="outset" w:sz="6" w:space="0" w:color="auto"/>
            </w:tcBorders>
            <w:vAlign w:val="center"/>
            <w:hideMark/>
          </w:tcPr>
          <w:p w14:paraId="38B6B854" w14:textId="77777777" w:rsidR="003A6DF6" w:rsidRPr="003A6DF6" w:rsidRDefault="003A6DF6" w:rsidP="003A6DF6">
            <w:pPr>
              <w:rPr>
                <w:rFonts w:ascii="Times New Roman" w:eastAsia="Times New Roman" w:hAnsi="Times New Roman" w:cs="Times New Roman"/>
                <w:b/>
                <w:bCs/>
              </w:rPr>
            </w:pPr>
            <w:r w:rsidRPr="003A6DF6">
              <w:rPr>
                <w:rFonts w:ascii="Times New Roman" w:eastAsia="Times New Roman" w:hAnsi="Times New Roman" w:cs="Times New Roman"/>
                <w:b/>
                <w:bCs/>
              </w:rPr>
              <w:t>% of Grade</w:t>
            </w:r>
          </w:p>
        </w:tc>
        <w:tc>
          <w:tcPr>
            <w:tcW w:w="1697" w:type="pct"/>
            <w:tcBorders>
              <w:top w:val="outset" w:sz="6" w:space="0" w:color="auto"/>
              <w:left w:val="outset" w:sz="6" w:space="0" w:color="auto"/>
              <w:bottom w:val="outset" w:sz="6" w:space="0" w:color="auto"/>
              <w:right w:val="outset" w:sz="6" w:space="0" w:color="auto"/>
            </w:tcBorders>
            <w:vAlign w:val="center"/>
            <w:hideMark/>
          </w:tcPr>
          <w:p w14:paraId="54CA30FA" w14:textId="77777777" w:rsidR="003A6DF6" w:rsidRPr="003A6DF6" w:rsidRDefault="003A6DF6" w:rsidP="003A6DF6">
            <w:pPr>
              <w:rPr>
                <w:rFonts w:ascii="Times New Roman" w:eastAsia="Times New Roman" w:hAnsi="Times New Roman" w:cs="Times New Roman"/>
                <w:b/>
                <w:bCs/>
              </w:rPr>
            </w:pPr>
            <w:r w:rsidRPr="003A6DF6">
              <w:rPr>
                <w:rFonts w:ascii="Times New Roman" w:eastAsia="Times New Roman" w:hAnsi="Times New Roman" w:cs="Times New Roman"/>
                <w:b/>
                <w:bCs/>
              </w:rPr>
              <w:t>Details/Due Dates</w:t>
            </w:r>
          </w:p>
        </w:tc>
      </w:tr>
      <w:tr w:rsidR="003A6DF6" w:rsidRPr="003A6DF6" w14:paraId="6BA72924" w14:textId="77777777" w:rsidTr="003A6DF6">
        <w:trPr>
          <w:trHeight w:val="1245"/>
        </w:trPr>
        <w:tc>
          <w:tcPr>
            <w:tcW w:w="2500" w:type="pct"/>
            <w:tcBorders>
              <w:top w:val="outset" w:sz="6" w:space="0" w:color="auto"/>
              <w:left w:val="outset" w:sz="6" w:space="0" w:color="auto"/>
              <w:bottom w:val="outset" w:sz="6" w:space="0" w:color="auto"/>
              <w:right w:val="outset" w:sz="6" w:space="0" w:color="auto"/>
            </w:tcBorders>
            <w:vAlign w:val="center"/>
            <w:hideMark/>
          </w:tcPr>
          <w:p w14:paraId="1D267D70"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Attendance and in-class discussion participation</w:t>
            </w:r>
          </w:p>
        </w:tc>
        <w:tc>
          <w:tcPr>
            <w:tcW w:w="333" w:type="pct"/>
            <w:tcBorders>
              <w:top w:val="outset" w:sz="6" w:space="0" w:color="auto"/>
              <w:left w:val="outset" w:sz="6" w:space="0" w:color="auto"/>
              <w:bottom w:val="outset" w:sz="6" w:space="0" w:color="auto"/>
              <w:right w:val="outset" w:sz="6" w:space="0" w:color="auto"/>
            </w:tcBorders>
            <w:vAlign w:val="center"/>
            <w:hideMark/>
          </w:tcPr>
          <w:p w14:paraId="68A6FE30"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15%</w:t>
            </w:r>
          </w:p>
        </w:tc>
        <w:tc>
          <w:tcPr>
            <w:tcW w:w="1697" w:type="pct"/>
            <w:tcBorders>
              <w:top w:val="outset" w:sz="6" w:space="0" w:color="auto"/>
              <w:left w:val="outset" w:sz="6" w:space="0" w:color="auto"/>
              <w:bottom w:val="outset" w:sz="6" w:space="0" w:color="auto"/>
              <w:right w:val="outset" w:sz="6" w:space="0" w:color="auto"/>
            </w:tcBorders>
            <w:vAlign w:val="center"/>
            <w:hideMark/>
          </w:tcPr>
          <w:p w14:paraId="697262BC"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Throughout</w:t>
            </w:r>
          </w:p>
          <w:p w14:paraId="6442A454"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(1 % per week)</w:t>
            </w:r>
          </w:p>
        </w:tc>
      </w:tr>
      <w:tr w:rsidR="003A6DF6" w:rsidRPr="003A6DF6" w14:paraId="4160C857" w14:textId="77777777" w:rsidTr="003A6DF6">
        <w:trPr>
          <w:trHeight w:val="1785"/>
        </w:trPr>
        <w:tc>
          <w:tcPr>
            <w:tcW w:w="2500" w:type="pct"/>
            <w:tcBorders>
              <w:top w:val="outset" w:sz="6" w:space="0" w:color="auto"/>
              <w:left w:val="outset" w:sz="6" w:space="0" w:color="auto"/>
              <w:bottom w:val="outset" w:sz="6" w:space="0" w:color="auto"/>
              <w:right w:val="outset" w:sz="6" w:space="0" w:color="auto"/>
            </w:tcBorders>
            <w:vAlign w:val="center"/>
            <w:hideMark/>
          </w:tcPr>
          <w:p w14:paraId="06E2493C"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Ten 2-page responses to week’s readings</w:t>
            </w:r>
          </w:p>
          <w:p w14:paraId="32203FB7"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w:t>
            </w:r>
          </w:p>
        </w:tc>
        <w:tc>
          <w:tcPr>
            <w:tcW w:w="333" w:type="pct"/>
            <w:tcBorders>
              <w:top w:val="outset" w:sz="6" w:space="0" w:color="auto"/>
              <w:left w:val="outset" w:sz="6" w:space="0" w:color="auto"/>
              <w:bottom w:val="outset" w:sz="6" w:space="0" w:color="auto"/>
              <w:right w:val="outset" w:sz="6" w:space="0" w:color="auto"/>
            </w:tcBorders>
            <w:vAlign w:val="center"/>
            <w:hideMark/>
          </w:tcPr>
          <w:p w14:paraId="1A391CCF"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30%</w:t>
            </w:r>
          </w:p>
        </w:tc>
        <w:tc>
          <w:tcPr>
            <w:tcW w:w="1697" w:type="pct"/>
            <w:tcBorders>
              <w:top w:val="outset" w:sz="6" w:space="0" w:color="auto"/>
              <w:left w:val="outset" w:sz="6" w:space="0" w:color="auto"/>
              <w:bottom w:val="outset" w:sz="6" w:space="0" w:color="auto"/>
              <w:right w:val="outset" w:sz="6" w:space="0" w:color="auto"/>
            </w:tcBorders>
            <w:vAlign w:val="center"/>
            <w:hideMark/>
          </w:tcPr>
          <w:p w14:paraId="1C12F610"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(3 points each x 10)</w:t>
            </w:r>
          </w:p>
          <w:p w14:paraId="1E767485"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(course reflection counts as one)</w:t>
            </w:r>
          </w:p>
        </w:tc>
      </w:tr>
      <w:tr w:rsidR="003A6DF6" w:rsidRPr="003A6DF6" w14:paraId="782710F9" w14:textId="77777777" w:rsidTr="003A6DF6">
        <w:trPr>
          <w:trHeight w:val="1245"/>
        </w:trPr>
        <w:tc>
          <w:tcPr>
            <w:tcW w:w="2500" w:type="pct"/>
            <w:tcBorders>
              <w:top w:val="outset" w:sz="6" w:space="0" w:color="auto"/>
              <w:left w:val="outset" w:sz="6" w:space="0" w:color="auto"/>
              <w:bottom w:val="outset" w:sz="6" w:space="0" w:color="auto"/>
              <w:right w:val="outset" w:sz="6" w:space="0" w:color="auto"/>
            </w:tcBorders>
            <w:vAlign w:val="center"/>
            <w:hideMark/>
          </w:tcPr>
          <w:p w14:paraId="38F28A06"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Leading discussion of readings</w:t>
            </w:r>
          </w:p>
        </w:tc>
        <w:tc>
          <w:tcPr>
            <w:tcW w:w="333" w:type="pct"/>
            <w:tcBorders>
              <w:top w:val="outset" w:sz="6" w:space="0" w:color="auto"/>
              <w:left w:val="outset" w:sz="6" w:space="0" w:color="auto"/>
              <w:bottom w:val="outset" w:sz="6" w:space="0" w:color="auto"/>
              <w:right w:val="outset" w:sz="6" w:space="0" w:color="auto"/>
            </w:tcBorders>
            <w:vAlign w:val="center"/>
            <w:hideMark/>
          </w:tcPr>
          <w:p w14:paraId="4BA5C88B"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5%</w:t>
            </w:r>
          </w:p>
        </w:tc>
        <w:tc>
          <w:tcPr>
            <w:tcW w:w="1697" w:type="pct"/>
            <w:tcBorders>
              <w:top w:val="outset" w:sz="6" w:space="0" w:color="auto"/>
              <w:left w:val="outset" w:sz="6" w:space="0" w:color="auto"/>
              <w:bottom w:val="outset" w:sz="6" w:space="0" w:color="auto"/>
              <w:right w:val="outset" w:sz="6" w:space="0" w:color="auto"/>
            </w:tcBorders>
            <w:vAlign w:val="center"/>
            <w:hideMark/>
          </w:tcPr>
          <w:p w14:paraId="320B5776"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Sign-up Sheet</w:t>
            </w:r>
          </w:p>
        </w:tc>
      </w:tr>
      <w:tr w:rsidR="003A6DF6" w:rsidRPr="003A6DF6" w14:paraId="47B3F638" w14:textId="77777777" w:rsidTr="003A6DF6">
        <w:trPr>
          <w:trHeight w:val="345"/>
        </w:trPr>
        <w:tc>
          <w:tcPr>
            <w:tcW w:w="2500" w:type="pct"/>
            <w:tcBorders>
              <w:top w:val="outset" w:sz="6" w:space="0" w:color="auto"/>
              <w:left w:val="outset" w:sz="6" w:space="0" w:color="auto"/>
              <w:bottom w:val="outset" w:sz="6" w:space="0" w:color="auto"/>
              <w:right w:val="outset" w:sz="6" w:space="0" w:color="auto"/>
            </w:tcBorders>
            <w:vAlign w:val="center"/>
            <w:hideMark/>
          </w:tcPr>
          <w:p w14:paraId="0DC308C3"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Paper Topic</w:t>
            </w:r>
          </w:p>
        </w:tc>
        <w:tc>
          <w:tcPr>
            <w:tcW w:w="333" w:type="pct"/>
            <w:tcBorders>
              <w:top w:val="outset" w:sz="6" w:space="0" w:color="auto"/>
              <w:left w:val="outset" w:sz="6" w:space="0" w:color="auto"/>
              <w:bottom w:val="outset" w:sz="6" w:space="0" w:color="auto"/>
              <w:right w:val="outset" w:sz="6" w:space="0" w:color="auto"/>
            </w:tcBorders>
            <w:vAlign w:val="center"/>
            <w:hideMark/>
          </w:tcPr>
          <w:p w14:paraId="0E33CE53"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5%</w:t>
            </w:r>
          </w:p>
        </w:tc>
        <w:tc>
          <w:tcPr>
            <w:tcW w:w="1697" w:type="pct"/>
            <w:tcBorders>
              <w:top w:val="outset" w:sz="6" w:space="0" w:color="auto"/>
              <w:left w:val="outset" w:sz="6" w:space="0" w:color="auto"/>
              <w:bottom w:val="outset" w:sz="6" w:space="0" w:color="auto"/>
              <w:right w:val="outset" w:sz="6" w:space="0" w:color="auto"/>
            </w:tcBorders>
            <w:vAlign w:val="center"/>
            <w:hideMark/>
          </w:tcPr>
          <w:p w14:paraId="747F0371"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Due February 20</w:t>
            </w:r>
          </w:p>
        </w:tc>
      </w:tr>
      <w:tr w:rsidR="003A6DF6" w:rsidRPr="003A6DF6" w14:paraId="1249D801" w14:textId="77777777" w:rsidTr="003A6DF6">
        <w:trPr>
          <w:trHeight w:val="345"/>
        </w:trPr>
        <w:tc>
          <w:tcPr>
            <w:tcW w:w="2500" w:type="pct"/>
            <w:tcBorders>
              <w:top w:val="outset" w:sz="6" w:space="0" w:color="auto"/>
              <w:left w:val="outset" w:sz="6" w:space="0" w:color="auto"/>
              <w:bottom w:val="outset" w:sz="6" w:space="0" w:color="auto"/>
              <w:right w:val="outset" w:sz="6" w:space="0" w:color="auto"/>
            </w:tcBorders>
            <w:vAlign w:val="center"/>
            <w:hideMark/>
          </w:tcPr>
          <w:p w14:paraId="5DF99909"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Annotated bibliography</w:t>
            </w:r>
          </w:p>
        </w:tc>
        <w:tc>
          <w:tcPr>
            <w:tcW w:w="333" w:type="pct"/>
            <w:tcBorders>
              <w:top w:val="outset" w:sz="6" w:space="0" w:color="auto"/>
              <w:left w:val="outset" w:sz="6" w:space="0" w:color="auto"/>
              <w:bottom w:val="outset" w:sz="6" w:space="0" w:color="auto"/>
              <w:right w:val="outset" w:sz="6" w:space="0" w:color="auto"/>
            </w:tcBorders>
            <w:vAlign w:val="center"/>
            <w:hideMark/>
          </w:tcPr>
          <w:p w14:paraId="4B70CE2D"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5%</w:t>
            </w:r>
          </w:p>
        </w:tc>
        <w:tc>
          <w:tcPr>
            <w:tcW w:w="1697" w:type="pct"/>
            <w:tcBorders>
              <w:top w:val="outset" w:sz="6" w:space="0" w:color="auto"/>
              <w:left w:val="outset" w:sz="6" w:space="0" w:color="auto"/>
              <w:bottom w:val="outset" w:sz="6" w:space="0" w:color="auto"/>
              <w:right w:val="outset" w:sz="6" w:space="0" w:color="auto"/>
            </w:tcBorders>
            <w:vAlign w:val="center"/>
            <w:hideMark/>
          </w:tcPr>
          <w:p w14:paraId="41A2815E"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Due March 20</w:t>
            </w:r>
          </w:p>
        </w:tc>
      </w:tr>
      <w:tr w:rsidR="003A6DF6" w:rsidRPr="003A6DF6" w14:paraId="648A1F7D" w14:textId="77777777" w:rsidTr="003A6DF6">
        <w:trPr>
          <w:trHeight w:val="345"/>
        </w:trPr>
        <w:tc>
          <w:tcPr>
            <w:tcW w:w="2500" w:type="pct"/>
            <w:tcBorders>
              <w:top w:val="outset" w:sz="6" w:space="0" w:color="auto"/>
              <w:left w:val="outset" w:sz="6" w:space="0" w:color="auto"/>
              <w:bottom w:val="outset" w:sz="6" w:space="0" w:color="auto"/>
              <w:right w:val="outset" w:sz="6" w:space="0" w:color="auto"/>
            </w:tcBorders>
            <w:vAlign w:val="center"/>
            <w:hideMark/>
          </w:tcPr>
          <w:p w14:paraId="35F06492"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Thesis statement and outline</w:t>
            </w:r>
          </w:p>
        </w:tc>
        <w:tc>
          <w:tcPr>
            <w:tcW w:w="333" w:type="pct"/>
            <w:tcBorders>
              <w:top w:val="outset" w:sz="6" w:space="0" w:color="auto"/>
              <w:left w:val="outset" w:sz="6" w:space="0" w:color="auto"/>
              <w:bottom w:val="outset" w:sz="6" w:space="0" w:color="auto"/>
              <w:right w:val="outset" w:sz="6" w:space="0" w:color="auto"/>
            </w:tcBorders>
            <w:vAlign w:val="center"/>
            <w:hideMark/>
          </w:tcPr>
          <w:p w14:paraId="624F1672"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5%</w:t>
            </w:r>
          </w:p>
        </w:tc>
        <w:tc>
          <w:tcPr>
            <w:tcW w:w="1697" w:type="pct"/>
            <w:tcBorders>
              <w:top w:val="outset" w:sz="6" w:space="0" w:color="auto"/>
              <w:left w:val="outset" w:sz="6" w:space="0" w:color="auto"/>
              <w:bottom w:val="outset" w:sz="6" w:space="0" w:color="auto"/>
              <w:right w:val="outset" w:sz="6" w:space="0" w:color="auto"/>
            </w:tcBorders>
            <w:vAlign w:val="center"/>
            <w:hideMark/>
          </w:tcPr>
          <w:p w14:paraId="0F1CF25A"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Due April 10</w:t>
            </w:r>
          </w:p>
        </w:tc>
      </w:tr>
      <w:tr w:rsidR="003A6DF6" w:rsidRPr="003A6DF6" w14:paraId="66B30E18" w14:textId="77777777" w:rsidTr="003A6DF6">
        <w:trPr>
          <w:trHeight w:val="345"/>
        </w:trPr>
        <w:tc>
          <w:tcPr>
            <w:tcW w:w="2500" w:type="pct"/>
            <w:tcBorders>
              <w:top w:val="outset" w:sz="6" w:space="0" w:color="auto"/>
              <w:left w:val="outset" w:sz="6" w:space="0" w:color="auto"/>
              <w:bottom w:val="outset" w:sz="6" w:space="0" w:color="auto"/>
              <w:right w:val="outset" w:sz="6" w:space="0" w:color="auto"/>
            </w:tcBorders>
            <w:vAlign w:val="center"/>
            <w:hideMark/>
          </w:tcPr>
          <w:p w14:paraId="21E6F27A"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Final paper presentation</w:t>
            </w:r>
          </w:p>
        </w:tc>
        <w:tc>
          <w:tcPr>
            <w:tcW w:w="333" w:type="pct"/>
            <w:tcBorders>
              <w:top w:val="outset" w:sz="6" w:space="0" w:color="auto"/>
              <w:left w:val="outset" w:sz="6" w:space="0" w:color="auto"/>
              <w:bottom w:val="outset" w:sz="6" w:space="0" w:color="auto"/>
              <w:right w:val="outset" w:sz="6" w:space="0" w:color="auto"/>
            </w:tcBorders>
            <w:vAlign w:val="center"/>
            <w:hideMark/>
          </w:tcPr>
          <w:p w14:paraId="33F0F3A9"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10%</w:t>
            </w:r>
          </w:p>
        </w:tc>
        <w:tc>
          <w:tcPr>
            <w:tcW w:w="1697" w:type="pct"/>
            <w:tcBorders>
              <w:top w:val="outset" w:sz="6" w:space="0" w:color="auto"/>
              <w:left w:val="outset" w:sz="6" w:space="0" w:color="auto"/>
              <w:bottom w:val="outset" w:sz="6" w:space="0" w:color="auto"/>
              <w:right w:val="outset" w:sz="6" w:space="0" w:color="auto"/>
            </w:tcBorders>
            <w:vAlign w:val="center"/>
            <w:hideMark/>
          </w:tcPr>
          <w:p w14:paraId="3DC05CDB"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April 22 or 24</w:t>
            </w:r>
          </w:p>
          <w:p w14:paraId="17B71BD2"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(your choice)</w:t>
            </w:r>
          </w:p>
        </w:tc>
      </w:tr>
      <w:tr w:rsidR="003A6DF6" w:rsidRPr="003A6DF6" w14:paraId="43F3D1C9" w14:textId="77777777" w:rsidTr="003A6DF6">
        <w:trPr>
          <w:trHeight w:val="345"/>
        </w:trPr>
        <w:tc>
          <w:tcPr>
            <w:tcW w:w="2500" w:type="pct"/>
            <w:tcBorders>
              <w:top w:val="outset" w:sz="6" w:space="0" w:color="auto"/>
              <w:left w:val="outset" w:sz="6" w:space="0" w:color="auto"/>
              <w:bottom w:val="outset" w:sz="6" w:space="0" w:color="auto"/>
              <w:right w:val="outset" w:sz="6" w:space="0" w:color="auto"/>
            </w:tcBorders>
            <w:vAlign w:val="center"/>
            <w:hideMark/>
          </w:tcPr>
          <w:p w14:paraId="7E30A181"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Final paper</w:t>
            </w:r>
          </w:p>
        </w:tc>
        <w:tc>
          <w:tcPr>
            <w:tcW w:w="333" w:type="pct"/>
            <w:tcBorders>
              <w:top w:val="outset" w:sz="6" w:space="0" w:color="auto"/>
              <w:left w:val="outset" w:sz="6" w:space="0" w:color="auto"/>
              <w:bottom w:val="outset" w:sz="6" w:space="0" w:color="auto"/>
              <w:right w:val="outset" w:sz="6" w:space="0" w:color="auto"/>
            </w:tcBorders>
            <w:vAlign w:val="center"/>
            <w:hideMark/>
          </w:tcPr>
          <w:p w14:paraId="2AB0DC8F"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25%</w:t>
            </w:r>
          </w:p>
        </w:tc>
        <w:tc>
          <w:tcPr>
            <w:tcW w:w="1697" w:type="pct"/>
            <w:tcBorders>
              <w:top w:val="outset" w:sz="6" w:space="0" w:color="auto"/>
              <w:left w:val="outset" w:sz="6" w:space="0" w:color="auto"/>
              <w:bottom w:val="outset" w:sz="6" w:space="0" w:color="auto"/>
              <w:right w:val="outset" w:sz="6" w:space="0" w:color="auto"/>
            </w:tcBorders>
            <w:vAlign w:val="center"/>
            <w:hideMark/>
          </w:tcPr>
          <w:p w14:paraId="5E0A15D1"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Due April 24</w:t>
            </w:r>
          </w:p>
        </w:tc>
      </w:tr>
      <w:tr w:rsidR="003A6DF6" w:rsidRPr="003A6DF6" w14:paraId="4859B470" w14:textId="77777777" w:rsidTr="003A6DF6">
        <w:trPr>
          <w:trHeight w:val="345"/>
        </w:trPr>
        <w:tc>
          <w:tcPr>
            <w:tcW w:w="2500" w:type="pct"/>
            <w:tcBorders>
              <w:top w:val="outset" w:sz="6" w:space="0" w:color="auto"/>
              <w:left w:val="outset" w:sz="6" w:space="0" w:color="auto"/>
              <w:bottom w:val="outset" w:sz="6" w:space="0" w:color="auto"/>
              <w:right w:val="outset" w:sz="6" w:space="0" w:color="auto"/>
            </w:tcBorders>
            <w:vAlign w:val="center"/>
            <w:hideMark/>
          </w:tcPr>
          <w:p w14:paraId="7BC3E435"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b/>
                <w:bCs/>
              </w:rPr>
              <w:t>Total</w:t>
            </w:r>
          </w:p>
        </w:tc>
        <w:tc>
          <w:tcPr>
            <w:tcW w:w="333" w:type="pct"/>
            <w:tcBorders>
              <w:top w:val="outset" w:sz="6" w:space="0" w:color="auto"/>
              <w:left w:val="outset" w:sz="6" w:space="0" w:color="auto"/>
              <w:bottom w:val="outset" w:sz="6" w:space="0" w:color="auto"/>
              <w:right w:val="outset" w:sz="6" w:space="0" w:color="auto"/>
            </w:tcBorders>
            <w:vAlign w:val="center"/>
            <w:hideMark/>
          </w:tcPr>
          <w:p w14:paraId="2516BD71"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b/>
                <w:bCs/>
              </w:rPr>
              <w:t>100%</w:t>
            </w:r>
          </w:p>
        </w:tc>
        <w:tc>
          <w:tcPr>
            <w:tcW w:w="1697" w:type="pct"/>
            <w:tcBorders>
              <w:top w:val="outset" w:sz="6" w:space="0" w:color="auto"/>
              <w:left w:val="outset" w:sz="6" w:space="0" w:color="auto"/>
              <w:bottom w:val="outset" w:sz="6" w:space="0" w:color="auto"/>
              <w:right w:val="outset" w:sz="6" w:space="0" w:color="auto"/>
            </w:tcBorders>
            <w:vAlign w:val="center"/>
            <w:hideMark/>
          </w:tcPr>
          <w:p w14:paraId="746E5903"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b/>
                <w:bCs/>
              </w:rPr>
              <w:t> </w:t>
            </w:r>
          </w:p>
        </w:tc>
      </w:tr>
    </w:tbl>
    <w:p w14:paraId="346BF957"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lastRenderedPageBreak/>
        <w:t>Course Flow and Assignments</w:t>
      </w:r>
    </w:p>
    <w:p w14:paraId="2D49517A"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This course consists of 4 units:</w:t>
      </w:r>
    </w:p>
    <w:p w14:paraId="70C78B1C"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b/>
          <w:bCs/>
        </w:rPr>
        <w:t>(1) A Brief History of Conservation and the Conservation Debate (weeks 1-4)</w:t>
      </w:r>
    </w:p>
    <w:p w14:paraId="3230B08D"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b/>
          <w:bCs/>
        </w:rPr>
        <w:t>(2) The shift to New Conservation and Critiques (weeks 4-5)</w:t>
      </w:r>
    </w:p>
    <w:p w14:paraId="10F1E2F9"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b/>
          <w:bCs/>
        </w:rPr>
        <w:t>(3) Poverty, Development and Sustainable Development (weeks 6-8)</w:t>
      </w:r>
    </w:p>
    <w:p w14:paraId="2A9D2474"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b/>
          <w:bCs/>
        </w:rPr>
        <w:t>(4) Frameworks and Strategies for Effective Conservation and Development (weeks 9-15)</w:t>
      </w:r>
    </w:p>
    <w:p w14:paraId="698C403E"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Although the topic of this course is somewhat specific, it sits at the intersection between many disciplines. Therefore, to fully consider the dilemmas presented, one must draw upon an array of literature in the life and social sciences. These topics span multiple disciplines and perspectives, and therefore, in addition to the course readings, we have a long list of additional readings which may be helpful in researching your individual paper topic.</w:t>
      </w:r>
    </w:p>
    <w:p w14:paraId="44897D04"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You will be required to keep up with the readings and discussions for each unit as well as the papers and assignments. You will be assessed on your progress and performance in the following areas:</w:t>
      </w:r>
    </w:p>
    <w:p w14:paraId="698DCAE8"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27"/>
          <w:szCs w:val="27"/>
        </w:rPr>
        <w:t>Attendance and in-class discussion participation</w:t>
      </w:r>
    </w:p>
    <w:p w14:paraId="7FAE18EB"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 large portion of this course will be spent discussing the readings, your reactions and thoughts about them, as well as questions and ideas that come up as a result of the topics being studied in this course. Your attendance and participation in class discussions is worth 15% of your final grade (which is 1% per week of class). Please participate actively, respectfully and thoughtfully.  The class is largely what you make it to be. Some tips:</w:t>
      </w:r>
    </w:p>
    <w:p w14:paraId="54FEEC20" w14:textId="77777777" w:rsidR="003A6DF6" w:rsidRPr="003A6DF6" w:rsidRDefault="003A6DF6" w:rsidP="003A6DF6">
      <w:pPr>
        <w:numPr>
          <w:ilvl w:val="0"/>
          <w:numId w:val="2"/>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Be prepared for class. Readings must be done prior to class</w:t>
      </w:r>
    </w:p>
    <w:p w14:paraId="52B57219" w14:textId="77777777" w:rsidR="003A6DF6" w:rsidRPr="003A6DF6" w:rsidRDefault="003A6DF6" w:rsidP="003A6DF6">
      <w:pPr>
        <w:numPr>
          <w:ilvl w:val="0"/>
          <w:numId w:val="2"/>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Share and explain your opinions with examples</w:t>
      </w:r>
    </w:p>
    <w:p w14:paraId="15E70732" w14:textId="77777777" w:rsidR="003A6DF6" w:rsidRPr="003A6DF6" w:rsidRDefault="003A6DF6" w:rsidP="003A6DF6">
      <w:pPr>
        <w:numPr>
          <w:ilvl w:val="0"/>
          <w:numId w:val="2"/>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Ask questions as well as respond to them; Do not hesitate to ask for clarification</w:t>
      </w:r>
    </w:p>
    <w:p w14:paraId="5B0BC209" w14:textId="77777777" w:rsidR="003A6DF6" w:rsidRPr="003A6DF6" w:rsidRDefault="003A6DF6" w:rsidP="003A6DF6">
      <w:pPr>
        <w:numPr>
          <w:ilvl w:val="0"/>
          <w:numId w:val="2"/>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Back up your arguments with evidence</w:t>
      </w:r>
    </w:p>
    <w:p w14:paraId="6D1FA7F0" w14:textId="77777777" w:rsidR="003A6DF6" w:rsidRPr="003A6DF6" w:rsidRDefault="003A6DF6" w:rsidP="003A6DF6">
      <w:pPr>
        <w:numPr>
          <w:ilvl w:val="0"/>
          <w:numId w:val="2"/>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Listen carefully to other opinions; Disagree politely</w:t>
      </w:r>
    </w:p>
    <w:p w14:paraId="727A85C4" w14:textId="77777777" w:rsidR="003A6DF6" w:rsidRPr="003A6DF6" w:rsidRDefault="003A6DF6" w:rsidP="003A6DF6">
      <w:pPr>
        <w:numPr>
          <w:ilvl w:val="0"/>
          <w:numId w:val="2"/>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Be willing to change your mind when another argument is more cogent than yours</w:t>
      </w:r>
    </w:p>
    <w:p w14:paraId="616A997A" w14:textId="77777777" w:rsidR="003A6DF6" w:rsidRPr="003A6DF6" w:rsidRDefault="003A6DF6" w:rsidP="003A6DF6">
      <w:pPr>
        <w:numPr>
          <w:ilvl w:val="0"/>
          <w:numId w:val="2"/>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Make your points succinctly, avoiding repetition, and provide a choice example of your main point</w:t>
      </w:r>
    </w:p>
    <w:p w14:paraId="518EBF1A" w14:textId="77777777" w:rsidR="003A6DF6" w:rsidRPr="003A6DF6" w:rsidRDefault="003A6DF6" w:rsidP="003A6DF6">
      <w:pPr>
        <w:numPr>
          <w:ilvl w:val="0"/>
          <w:numId w:val="2"/>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Don’t dominate; be fair about the amount of time you take to speak</w:t>
      </w:r>
    </w:p>
    <w:p w14:paraId="6C4623DB"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27"/>
          <w:szCs w:val="27"/>
        </w:rPr>
        <w:t xml:space="preserve">Ten Reading Response papers: 2-page responses to readings, due Mondays </w:t>
      </w:r>
      <w:r w:rsidRPr="003A6DF6">
        <w:rPr>
          <w:rFonts w:ascii="Times New Roman" w:eastAsia="Times New Roman" w:hAnsi="Times New Roman" w:cs="Times New Roman"/>
          <w:b/>
          <w:bCs/>
          <w:i/>
          <w:iCs/>
          <w:sz w:val="27"/>
          <w:szCs w:val="27"/>
        </w:rPr>
        <w:t>(except Jan 21)</w:t>
      </w:r>
      <w:r w:rsidRPr="003A6DF6">
        <w:rPr>
          <w:rFonts w:ascii="Times New Roman" w:eastAsia="Times New Roman" w:hAnsi="Times New Roman" w:cs="Times New Roman"/>
          <w:b/>
          <w:bCs/>
          <w:sz w:val="27"/>
          <w:szCs w:val="27"/>
        </w:rPr>
        <w:t>:</w:t>
      </w:r>
    </w:p>
    <w:p w14:paraId="59DA7979"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This should be a very short summary of some of the week’s readings and some of your thoughts about them. Consider individual arguments made by the authors, but also consider the collection </w:t>
      </w:r>
      <w:r w:rsidRPr="003A6DF6">
        <w:rPr>
          <w:rFonts w:ascii="Times New Roman" w:eastAsia="Times New Roman" w:hAnsi="Times New Roman" w:cs="Times New Roman"/>
        </w:rPr>
        <w:lastRenderedPageBreak/>
        <w:t xml:space="preserve">of readings overall. Compare and contrast them and </w:t>
      </w:r>
      <w:r w:rsidRPr="003A6DF6">
        <w:rPr>
          <w:rFonts w:ascii="Times New Roman" w:eastAsia="Times New Roman" w:hAnsi="Times New Roman" w:cs="Times New Roman"/>
          <w:b/>
          <w:bCs/>
        </w:rPr>
        <w:t>consider why they were assigned together</w:t>
      </w:r>
      <w:r w:rsidRPr="003A6DF6">
        <w:rPr>
          <w:rFonts w:ascii="Times New Roman" w:eastAsia="Times New Roman" w:hAnsi="Times New Roman" w:cs="Times New Roman"/>
        </w:rPr>
        <w:t xml:space="preserve">. Please submit your response electronically (through Blackboard) by 10:00 am on Mondays if you are submitting for credit. I may make all of the papers available to the class at that time, if it seems that it would be beneficial for our class discussion. Once these are made available, you can no longer submit your reflection for full credit. The </w:t>
      </w:r>
      <w:r w:rsidRPr="003A6DF6">
        <w:rPr>
          <w:rFonts w:ascii="Times New Roman" w:eastAsia="Times New Roman" w:hAnsi="Times New Roman" w:cs="Times New Roman"/>
          <w:b/>
          <w:bCs/>
        </w:rPr>
        <w:t>course reflection</w:t>
      </w:r>
      <w:r w:rsidRPr="003A6DF6">
        <w:rPr>
          <w:rFonts w:ascii="Times New Roman" w:eastAsia="Times New Roman" w:hAnsi="Times New Roman" w:cs="Times New Roman"/>
        </w:rPr>
        <w:t xml:space="preserve"> due sometime in the last 2 weeks of class counts as one of these papers, but if you would prefer that your course reflection paper not be shared with the whole class, just let me know. Each course reflection over the required 10 counts for 3 points of extra credit.</w:t>
      </w:r>
    </w:p>
    <w:p w14:paraId="2D730CF8"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27"/>
          <w:szCs w:val="27"/>
        </w:rPr>
        <w:t>Lead discussion of readings twice</w:t>
      </w:r>
    </w:p>
    <w:p w14:paraId="31C56328"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Each week, one of you will lead a discussion of the readings, starting by posting at least 3 starter questions to the Discussion Board by 10 am on Mondays </w:t>
      </w:r>
      <w:r w:rsidRPr="003A6DF6">
        <w:rPr>
          <w:rFonts w:ascii="Times New Roman" w:eastAsia="Times New Roman" w:hAnsi="Times New Roman" w:cs="Times New Roman"/>
          <w:i/>
          <w:iCs/>
        </w:rPr>
        <w:t>(except Jan 21)</w:t>
      </w:r>
      <w:r w:rsidRPr="003A6DF6">
        <w:rPr>
          <w:rFonts w:ascii="Times New Roman" w:eastAsia="Times New Roman" w:hAnsi="Times New Roman" w:cs="Times New Roman"/>
        </w:rPr>
        <w:t>. There will be a sign-up sheet on the first day of class. It would make sense to do a reading response paper on the same week that you lead the discussion. You can use your reading response as a starting point to ask questions about aspects of the readings you found interesting, objectionable, compelling, dubious, etc. Make your questions broad and comparative, to highlight several readings in one question. Have a few extra questions ready to stimulate conversation among classmates, just in case there is a lull after discussion of the first few starter questions.</w:t>
      </w:r>
    </w:p>
    <w:p w14:paraId="7C79BFEF"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27"/>
          <w:szCs w:val="27"/>
        </w:rPr>
        <w:t>Paper topic</w:t>
      </w:r>
    </w:p>
    <w:p w14:paraId="65C51BD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For this assignment, please describe your chosen paper topic, location (if applicable) and provide a context-specific problem explication. One page should be sufficient, but two is fine.</w:t>
      </w:r>
    </w:p>
    <w:p w14:paraId="55C94BFC"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27"/>
          <w:szCs w:val="27"/>
        </w:rPr>
        <w:t>Annotated bibliography of sources</w:t>
      </w:r>
    </w:p>
    <w:p w14:paraId="2674F6B0"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You need to have read about and understand the broad outlines and scope of your problem area in order to consider viable solutions and come up with a true thesis statement. An annotated bibliography is a list of sources, each followed by a short (2-3 sentence) description of the main argument of the source). Once I see what you are reading, I may be able to suggest other readings as well. You need to have at least 10 sources for this annotated bibliography assignment.</w:t>
      </w:r>
    </w:p>
    <w:p w14:paraId="7028863E"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27"/>
          <w:szCs w:val="27"/>
        </w:rPr>
        <w:t>Thesis Statement and Outline</w:t>
      </w:r>
    </w:p>
    <w:p w14:paraId="5DB2DD3A"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 thesis statement is the main argument that you’ll make in your paper. This needs to be coherent and well-argued, so you’ll need to do your research and reading ahead of time and really consider how you want to tailor and frame your main point. This will help you to make the final paper clear and concise, and to structure the paper in a way that supports your point.</w:t>
      </w:r>
    </w:p>
    <w:p w14:paraId="31DDD8B5"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27"/>
          <w:szCs w:val="27"/>
        </w:rPr>
        <w:t>Final Paper</w:t>
      </w:r>
    </w:p>
    <w:p w14:paraId="26CF5B0B"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For the chosen issue (and location, if applicable) within the realm of conservation, consider a sustainable solution to the problem. Describe the problem and its background. How did it get this </w:t>
      </w:r>
      <w:r w:rsidRPr="003A6DF6">
        <w:rPr>
          <w:rFonts w:ascii="Times New Roman" w:eastAsia="Times New Roman" w:hAnsi="Times New Roman" w:cs="Times New Roman"/>
        </w:rPr>
        <w:lastRenderedPageBreak/>
        <w:t>way? Why will this proposed solution be the best way to address the problem? Construct your argument carefully. Your thesis statement should be clear and well supported by evidence.</w:t>
      </w:r>
    </w:p>
    <w:p w14:paraId="7BE46CD0"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Papers should be 10-15 pages, double-spaced. We recommend Times New Roman 11 or 12 point font (</w:t>
      </w:r>
      <w:r w:rsidRPr="003A6DF6">
        <w:rPr>
          <w:rFonts w:ascii="Times New Roman" w:eastAsia="Times New Roman" w:hAnsi="Times New Roman" w:cs="Times New Roman"/>
          <w:i/>
          <w:iCs/>
        </w:rPr>
        <w:t>this goes for all assignments in this class)</w:t>
      </w:r>
      <w:r w:rsidRPr="003A6DF6">
        <w:rPr>
          <w:rFonts w:ascii="Times New Roman" w:eastAsia="Times New Roman" w:hAnsi="Times New Roman" w:cs="Times New Roman"/>
        </w:rPr>
        <w:t>. Use maps and graphics as necessary, citing their sources. Write the introduction last. It should summarize your argument, perhaps even being able to serve as an abstract for your paper.</w:t>
      </w:r>
    </w:p>
    <w:p w14:paraId="052F7422"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27"/>
          <w:szCs w:val="27"/>
        </w:rPr>
        <w:t>Paper grading rubric (25 points total)</w:t>
      </w:r>
    </w:p>
    <w:tbl>
      <w:tblPr>
        <w:tblW w:w="2196"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682"/>
        <w:gridCol w:w="1422"/>
      </w:tblGrid>
      <w:tr w:rsidR="003A6DF6" w:rsidRPr="003A6DF6" w14:paraId="4FE713E2" w14:textId="77777777" w:rsidTr="003A6DF6">
        <w:trPr>
          <w:trHeight w:val="345"/>
        </w:trPr>
        <w:tc>
          <w:tcPr>
            <w:tcW w:w="1434" w:type="pct"/>
            <w:tcBorders>
              <w:top w:val="outset" w:sz="6" w:space="0" w:color="auto"/>
              <w:left w:val="outset" w:sz="6" w:space="0" w:color="auto"/>
              <w:bottom w:val="outset" w:sz="6" w:space="0" w:color="auto"/>
              <w:right w:val="outset" w:sz="6" w:space="0" w:color="auto"/>
            </w:tcBorders>
            <w:vAlign w:val="center"/>
            <w:hideMark/>
          </w:tcPr>
          <w:p w14:paraId="0886E68A"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b/>
                <w:bCs/>
              </w:rPr>
              <w:t>Criterion</w:t>
            </w:r>
          </w:p>
        </w:tc>
        <w:tc>
          <w:tcPr>
            <w:tcW w:w="761" w:type="pct"/>
            <w:tcBorders>
              <w:top w:val="outset" w:sz="6" w:space="0" w:color="auto"/>
              <w:left w:val="outset" w:sz="6" w:space="0" w:color="auto"/>
              <w:bottom w:val="outset" w:sz="6" w:space="0" w:color="auto"/>
              <w:right w:val="outset" w:sz="6" w:space="0" w:color="auto"/>
            </w:tcBorders>
            <w:vAlign w:val="center"/>
            <w:hideMark/>
          </w:tcPr>
          <w:p w14:paraId="3A46F9B9"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b/>
                <w:bCs/>
              </w:rPr>
              <w:t>Point Value</w:t>
            </w:r>
          </w:p>
        </w:tc>
      </w:tr>
      <w:tr w:rsidR="003A6DF6" w:rsidRPr="003A6DF6" w14:paraId="1EF743F3" w14:textId="77777777" w:rsidTr="003A6DF6">
        <w:trPr>
          <w:trHeight w:val="345"/>
        </w:trPr>
        <w:tc>
          <w:tcPr>
            <w:tcW w:w="1434" w:type="pct"/>
            <w:tcBorders>
              <w:top w:val="outset" w:sz="6" w:space="0" w:color="auto"/>
              <w:left w:val="outset" w:sz="6" w:space="0" w:color="auto"/>
              <w:bottom w:val="outset" w:sz="6" w:space="0" w:color="auto"/>
              <w:right w:val="outset" w:sz="6" w:space="0" w:color="auto"/>
            </w:tcBorders>
            <w:vAlign w:val="center"/>
            <w:hideMark/>
          </w:tcPr>
          <w:p w14:paraId="6EF2B198"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Clarity of thesis</w:t>
            </w:r>
          </w:p>
        </w:tc>
        <w:tc>
          <w:tcPr>
            <w:tcW w:w="761" w:type="pct"/>
            <w:tcBorders>
              <w:top w:val="outset" w:sz="6" w:space="0" w:color="auto"/>
              <w:left w:val="outset" w:sz="6" w:space="0" w:color="auto"/>
              <w:bottom w:val="outset" w:sz="6" w:space="0" w:color="auto"/>
              <w:right w:val="outset" w:sz="6" w:space="0" w:color="auto"/>
            </w:tcBorders>
            <w:vAlign w:val="center"/>
            <w:hideMark/>
          </w:tcPr>
          <w:p w14:paraId="6F941505"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5</w:t>
            </w:r>
          </w:p>
        </w:tc>
      </w:tr>
      <w:tr w:rsidR="003A6DF6" w:rsidRPr="003A6DF6" w14:paraId="5689E3EA" w14:textId="77777777" w:rsidTr="003A6DF6">
        <w:trPr>
          <w:trHeight w:val="345"/>
        </w:trPr>
        <w:tc>
          <w:tcPr>
            <w:tcW w:w="1434" w:type="pct"/>
            <w:tcBorders>
              <w:top w:val="outset" w:sz="6" w:space="0" w:color="auto"/>
              <w:left w:val="outset" w:sz="6" w:space="0" w:color="auto"/>
              <w:bottom w:val="outset" w:sz="6" w:space="0" w:color="auto"/>
              <w:right w:val="outset" w:sz="6" w:space="0" w:color="auto"/>
            </w:tcBorders>
            <w:vAlign w:val="center"/>
            <w:hideMark/>
          </w:tcPr>
          <w:p w14:paraId="0EF680BF"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Support for main point</w:t>
            </w:r>
          </w:p>
        </w:tc>
        <w:tc>
          <w:tcPr>
            <w:tcW w:w="761" w:type="pct"/>
            <w:tcBorders>
              <w:top w:val="outset" w:sz="6" w:space="0" w:color="auto"/>
              <w:left w:val="outset" w:sz="6" w:space="0" w:color="auto"/>
              <w:bottom w:val="outset" w:sz="6" w:space="0" w:color="auto"/>
              <w:right w:val="outset" w:sz="6" w:space="0" w:color="auto"/>
            </w:tcBorders>
            <w:vAlign w:val="center"/>
            <w:hideMark/>
          </w:tcPr>
          <w:p w14:paraId="21B5CD18"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5</w:t>
            </w:r>
          </w:p>
        </w:tc>
      </w:tr>
      <w:tr w:rsidR="003A6DF6" w:rsidRPr="003A6DF6" w14:paraId="515B98B6" w14:textId="77777777" w:rsidTr="003A6DF6">
        <w:trPr>
          <w:trHeight w:val="345"/>
        </w:trPr>
        <w:tc>
          <w:tcPr>
            <w:tcW w:w="1434" w:type="pct"/>
            <w:tcBorders>
              <w:top w:val="outset" w:sz="6" w:space="0" w:color="auto"/>
              <w:left w:val="outset" w:sz="6" w:space="0" w:color="auto"/>
              <w:bottom w:val="outset" w:sz="6" w:space="0" w:color="auto"/>
              <w:right w:val="outset" w:sz="6" w:space="0" w:color="auto"/>
            </w:tcBorders>
            <w:vAlign w:val="center"/>
            <w:hideMark/>
          </w:tcPr>
          <w:p w14:paraId="02F96BD1"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Organization of Paper</w:t>
            </w:r>
          </w:p>
        </w:tc>
        <w:tc>
          <w:tcPr>
            <w:tcW w:w="761" w:type="pct"/>
            <w:tcBorders>
              <w:top w:val="outset" w:sz="6" w:space="0" w:color="auto"/>
              <w:left w:val="outset" w:sz="6" w:space="0" w:color="auto"/>
              <w:bottom w:val="outset" w:sz="6" w:space="0" w:color="auto"/>
              <w:right w:val="outset" w:sz="6" w:space="0" w:color="auto"/>
            </w:tcBorders>
            <w:vAlign w:val="center"/>
            <w:hideMark/>
          </w:tcPr>
          <w:p w14:paraId="35A9E24E"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5</w:t>
            </w:r>
          </w:p>
        </w:tc>
      </w:tr>
      <w:tr w:rsidR="003A6DF6" w:rsidRPr="003A6DF6" w14:paraId="3826A5E4" w14:textId="77777777" w:rsidTr="003A6DF6">
        <w:trPr>
          <w:trHeight w:val="345"/>
        </w:trPr>
        <w:tc>
          <w:tcPr>
            <w:tcW w:w="1434" w:type="pct"/>
            <w:tcBorders>
              <w:top w:val="outset" w:sz="6" w:space="0" w:color="auto"/>
              <w:left w:val="outset" w:sz="6" w:space="0" w:color="auto"/>
              <w:bottom w:val="outset" w:sz="6" w:space="0" w:color="auto"/>
              <w:right w:val="outset" w:sz="6" w:space="0" w:color="auto"/>
            </w:tcBorders>
            <w:vAlign w:val="center"/>
            <w:hideMark/>
          </w:tcPr>
          <w:p w14:paraId="41FE6ECF"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Problem description</w:t>
            </w:r>
          </w:p>
        </w:tc>
        <w:tc>
          <w:tcPr>
            <w:tcW w:w="761" w:type="pct"/>
            <w:tcBorders>
              <w:top w:val="outset" w:sz="6" w:space="0" w:color="auto"/>
              <w:left w:val="outset" w:sz="6" w:space="0" w:color="auto"/>
              <w:bottom w:val="outset" w:sz="6" w:space="0" w:color="auto"/>
              <w:right w:val="outset" w:sz="6" w:space="0" w:color="auto"/>
            </w:tcBorders>
            <w:vAlign w:val="center"/>
            <w:hideMark/>
          </w:tcPr>
          <w:p w14:paraId="58EDDC3B"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5</w:t>
            </w:r>
          </w:p>
        </w:tc>
      </w:tr>
      <w:tr w:rsidR="003A6DF6" w:rsidRPr="003A6DF6" w14:paraId="7DC70548" w14:textId="77777777" w:rsidTr="003A6DF6">
        <w:trPr>
          <w:trHeight w:val="345"/>
        </w:trPr>
        <w:tc>
          <w:tcPr>
            <w:tcW w:w="1434" w:type="pct"/>
            <w:tcBorders>
              <w:top w:val="outset" w:sz="6" w:space="0" w:color="auto"/>
              <w:left w:val="outset" w:sz="6" w:space="0" w:color="auto"/>
              <w:bottom w:val="outset" w:sz="6" w:space="0" w:color="auto"/>
              <w:right w:val="outset" w:sz="6" w:space="0" w:color="auto"/>
            </w:tcBorders>
            <w:vAlign w:val="center"/>
            <w:hideMark/>
          </w:tcPr>
          <w:p w14:paraId="3DB6E93B"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Style and Citations</w:t>
            </w:r>
          </w:p>
        </w:tc>
        <w:tc>
          <w:tcPr>
            <w:tcW w:w="761" w:type="pct"/>
            <w:tcBorders>
              <w:top w:val="outset" w:sz="6" w:space="0" w:color="auto"/>
              <w:left w:val="outset" w:sz="6" w:space="0" w:color="auto"/>
              <w:bottom w:val="outset" w:sz="6" w:space="0" w:color="auto"/>
              <w:right w:val="outset" w:sz="6" w:space="0" w:color="auto"/>
            </w:tcBorders>
            <w:vAlign w:val="center"/>
            <w:hideMark/>
          </w:tcPr>
          <w:p w14:paraId="2D1E4843"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5</w:t>
            </w:r>
          </w:p>
        </w:tc>
      </w:tr>
      <w:tr w:rsidR="003A6DF6" w:rsidRPr="003A6DF6" w14:paraId="4F175596" w14:textId="77777777" w:rsidTr="003A6DF6">
        <w:tc>
          <w:tcPr>
            <w:tcW w:w="1434" w:type="pct"/>
            <w:tcBorders>
              <w:top w:val="outset" w:sz="6" w:space="0" w:color="auto"/>
              <w:left w:val="outset" w:sz="6" w:space="0" w:color="auto"/>
              <w:bottom w:val="outset" w:sz="6" w:space="0" w:color="auto"/>
              <w:right w:val="outset" w:sz="6" w:space="0" w:color="auto"/>
            </w:tcBorders>
            <w:vAlign w:val="center"/>
            <w:hideMark/>
          </w:tcPr>
          <w:p w14:paraId="57229E48"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TOTAL</w:t>
            </w:r>
          </w:p>
        </w:tc>
        <w:tc>
          <w:tcPr>
            <w:tcW w:w="761" w:type="pct"/>
            <w:tcBorders>
              <w:top w:val="outset" w:sz="6" w:space="0" w:color="auto"/>
              <w:left w:val="outset" w:sz="6" w:space="0" w:color="auto"/>
              <w:bottom w:val="outset" w:sz="6" w:space="0" w:color="auto"/>
              <w:right w:val="outset" w:sz="6" w:space="0" w:color="auto"/>
            </w:tcBorders>
            <w:vAlign w:val="center"/>
            <w:hideMark/>
          </w:tcPr>
          <w:p w14:paraId="661F0533"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25</w:t>
            </w:r>
          </w:p>
        </w:tc>
      </w:tr>
    </w:tbl>
    <w:p w14:paraId="4D3B3016"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27"/>
          <w:szCs w:val="27"/>
        </w:rPr>
        <w:t>Final Paper Presentation</w:t>
      </w:r>
    </w:p>
    <w:p w14:paraId="72B0989A"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10 minutes plus 2-4 minutes for Q&amp;A; style variable but must show advanced planning; slideshow recommended.</w:t>
      </w:r>
    </w:p>
    <w:p w14:paraId="7BDB3943" w14:textId="77777777" w:rsidR="003A6DF6" w:rsidRPr="003A6DF6" w:rsidRDefault="003A6DF6" w:rsidP="003A6DF6">
      <w:pPr>
        <w:spacing w:before="100" w:beforeAutospacing="1" w:after="100" w:afterAutospacing="1"/>
        <w:outlineLvl w:val="2"/>
        <w:rPr>
          <w:rFonts w:ascii="Times New Roman" w:eastAsia="Times New Roman" w:hAnsi="Times New Roman" w:cs="Times New Roman"/>
          <w:b/>
          <w:bCs/>
          <w:sz w:val="27"/>
          <w:szCs w:val="27"/>
        </w:rPr>
      </w:pPr>
      <w:r w:rsidRPr="003A6DF6">
        <w:rPr>
          <w:rFonts w:ascii="Times New Roman" w:eastAsia="Times New Roman" w:hAnsi="Times New Roman" w:cs="Times New Roman"/>
          <w:b/>
          <w:bCs/>
          <w:sz w:val="27"/>
          <w:szCs w:val="27"/>
        </w:rPr>
        <w:t>Presentation grading rubric (10 points total)</w:t>
      </w:r>
    </w:p>
    <w:tbl>
      <w:tblPr>
        <w:tblW w:w="3232"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668"/>
        <w:gridCol w:w="1372"/>
      </w:tblGrid>
      <w:tr w:rsidR="003A6DF6" w:rsidRPr="003A6DF6" w14:paraId="4F6FBF02" w14:textId="77777777" w:rsidTr="003A6DF6">
        <w:tc>
          <w:tcPr>
            <w:tcW w:w="2500" w:type="pct"/>
            <w:tcBorders>
              <w:top w:val="outset" w:sz="6" w:space="0" w:color="auto"/>
              <w:left w:val="outset" w:sz="6" w:space="0" w:color="auto"/>
              <w:bottom w:val="outset" w:sz="6" w:space="0" w:color="auto"/>
              <w:right w:val="outset" w:sz="6" w:space="0" w:color="auto"/>
            </w:tcBorders>
            <w:vAlign w:val="center"/>
            <w:hideMark/>
          </w:tcPr>
          <w:p w14:paraId="2430C025"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b/>
                <w:bCs/>
              </w:rPr>
              <w:t>Criterion</w:t>
            </w:r>
          </w:p>
        </w:tc>
        <w:tc>
          <w:tcPr>
            <w:tcW w:w="735" w:type="pct"/>
            <w:tcBorders>
              <w:top w:val="outset" w:sz="6" w:space="0" w:color="auto"/>
              <w:left w:val="outset" w:sz="6" w:space="0" w:color="auto"/>
              <w:bottom w:val="outset" w:sz="6" w:space="0" w:color="auto"/>
              <w:right w:val="outset" w:sz="6" w:space="0" w:color="auto"/>
            </w:tcBorders>
            <w:vAlign w:val="center"/>
            <w:hideMark/>
          </w:tcPr>
          <w:p w14:paraId="7D480834"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b/>
                <w:bCs/>
              </w:rPr>
              <w:t>Point Value</w:t>
            </w:r>
          </w:p>
        </w:tc>
      </w:tr>
      <w:tr w:rsidR="003A6DF6" w:rsidRPr="003A6DF6" w14:paraId="4D011F17" w14:textId="77777777" w:rsidTr="003A6DF6">
        <w:tc>
          <w:tcPr>
            <w:tcW w:w="2500" w:type="pct"/>
            <w:tcBorders>
              <w:top w:val="outset" w:sz="6" w:space="0" w:color="auto"/>
              <w:left w:val="outset" w:sz="6" w:space="0" w:color="auto"/>
              <w:bottom w:val="outset" w:sz="6" w:space="0" w:color="auto"/>
              <w:right w:val="outset" w:sz="6" w:space="0" w:color="auto"/>
            </w:tcBorders>
            <w:vAlign w:val="center"/>
            <w:hideMark/>
          </w:tcPr>
          <w:p w14:paraId="0CFF7CFB"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Clarity of point</w:t>
            </w:r>
          </w:p>
        </w:tc>
        <w:tc>
          <w:tcPr>
            <w:tcW w:w="735" w:type="pct"/>
            <w:tcBorders>
              <w:top w:val="outset" w:sz="6" w:space="0" w:color="auto"/>
              <w:left w:val="outset" w:sz="6" w:space="0" w:color="auto"/>
              <w:bottom w:val="outset" w:sz="6" w:space="0" w:color="auto"/>
              <w:right w:val="outset" w:sz="6" w:space="0" w:color="auto"/>
            </w:tcBorders>
            <w:vAlign w:val="center"/>
            <w:hideMark/>
          </w:tcPr>
          <w:p w14:paraId="406A6713"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3</w:t>
            </w:r>
          </w:p>
        </w:tc>
      </w:tr>
      <w:tr w:rsidR="003A6DF6" w:rsidRPr="003A6DF6" w14:paraId="5D66E3F6" w14:textId="77777777" w:rsidTr="003A6DF6">
        <w:tc>
          <w:tcPr>
            <w:tcW w:w="2500" w:type="pct"/>
            <w:tcBorders>
              <w:top w:val="outset" w:sz="6" w:space="0" w:color="auto"/>
              <w:left w:val="outset" w:sz="6" w:space="0" w:color="auto"/>
              <w:bottom w:val="outset" w:sz="6" w:space="0" w:color="auto"/>
              <w:right w:val="outset" w:sz="6" w:space="0" w:color="auto"/>
            </w:tcBorders>
            <w:vAlign w:val="center"/>
            <w:hideMark/>
          </w:tcPr>
          <w:p w14:paraId="3F12915E"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Support for main point</w:t>
            </w:r>
          </w:p>
        </w:tc>
        <w:tc>
          <w:tcPr>
            <w:tcW w:w="735" w:type="pct"/>
            <w:tcBorders>
              <w:top w:val="outset" w:sz="6" w:space="0" w:color="auto"/>
              <w:left w:val="outset" w:sz="6" w:space="0" w:color="auto"/>
              <w:bottom w:val="outset" w:sz="6" w:space="0" w:color="auto"/>
              <w:right w:val="outset" w:sz="6" w:space="0" w:color="auto"/>
            </w:tcBorders>
            <w:vAlign w:val="center"/>
            <w:hideMark/>
          </w:tcPr>
          <w:p w14:paraId="465F9F16"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3</w:t>
            </w:r>
          </w:p>
        </w:tc>
      </w:tr>
      <w:tr w:rsidR="003A6DF6" w:rsidRPr="003A6DF6" w14:paraId="1C44D295" w14:textId="77777777" w:rsidTr="003A6DF6">
        <w:tc>
          <w:tcPr>
            <w:tcW w:w="2500" w:type="pct"/>
            <w:tcBorders>
              <w:top w:val="outset" w:sz="6" w:space="0" w:color="auto"/>
              <w:left w:val="outset" w:sz="6" w:space="0" w:color="auto"/>
              <w:bottom w:val="outset" w:sz="6" w:space="0" w:color="auto"/>
              <w:right w:val="outset" w:sz="6" w:space="0" w:color="auto"/>
            </w:tcBorders>
            <w:vAlign w:val="center"/>
            <w:hideMark/>
          </w:tcPr>
          <w:p w14:paraId="4F442D75"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Succinctness of presentation</w:t>
            </w:r>
          </w:p>
        </w:tc>
        <w:tc>
          <w:tcPr>
            <w:tcW w:w="735" w:type="pct"/>
            <w:tcBorders>
              <w:top w:val="outset" w:sz="6" w:space="0" w:color="auto"/>
              <w:left w:val="outset" w:sz="6" w:space="0" w:color="auto"/>
              <w:bottom w:val="outset" w:sz="6" w:space="0" w:color="auto"/>
              <w:right w:val="outset" w:sz="6" w:space="0" w:color="auto"/>
            </w:tcBorders>
            <w:vAlign w:val="center"/>
            <w:hideMark/>
          </w:tcPr>
          <w:p w14:paraId="0590BA39"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w:t>
            </w:r>
          </w:p>
        </w:tc>
      </w:tr>
      <w:tr w:rsidR="003A6DF6" w:rsidRPr="003A6DF6" w14:paraId="5A710B01" w14:textId="77777777" w:rsidTr="003A6DF6">
        <w:tc>
          <w:tcPr>
            <w:tcW w:w="2500" w:type="pct"/>
            <w:tcBorders>
              <w:top w:val="outset" w:sz="6" w:space="0" w:color="auto"/>
              <w:left w:val="outset" w:sz="6" w:space="0" w:color="auto"/>
              <w:bottom w:val="outset" w:sz="6" w:space="0" w:color="auto"/>
              <w:right w:val="outset" w:sz="6" w:space="0" w:color="auto"/>
            </w:tcBorders>
            <w:vAlign w:val="center"/>
            <w:hideMark/>
          </w:tcPr>
          <w:p w14:paraId="174F689C"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Impressiveness of presentation (well prepared etc.)</w:t>
            </w:r>
          </w:p>
        </w:tc>
        <w:tc>
          <w:tcPr>
            <w:tcW w:w="735" w:type="pct"/>
            <w:tcBorders>
              <w:top w:val="outset" w:sz="6" w:space="0" w:color="auto"/>
              <w:left w:val="outset" w:sz="6" w:space="0" w:color="auto"/>
              <w:bottom w:val="outset" w:sz="6" w:space="0" w:color="auto"/>
              <w:right w:val="outset" w:sz="6" w:space="0" w:color="auto"/>
            </w:tcBorders>
            <w:vAlign w:val="center"/>
            <w:hideMark/>
          </w:tcPr>
          <w:p w14:paraId="5C6CF147"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w:t>
            </w:r>
          </w:p>
        </w:tc>
      </w:tr>
      <w:tr w:rsidR="003A6DF6" w:rsidRPr="003A6DF6" w14:paraId="56B491C7" w14:textId="77777777" w:rsidTr="003A6DF6">
        <w:tc>
          <w:tcPr>
            <w:tcW w:w="2500" w:type="pct"/>
            <w:tcBorders>
              <w:top w:val="outset" w:sz="6" w:space="0" w:color="auto"/>
              <w:left w:val="outset" w:sz="6" w:space="0" w:color="auto"/>
              <w:bottom w:val="outset" w:sz="6" w:space="0" w:color="auto"/>
              <w:right w:val="outset" w:sz="6" w:space="0" w:color="auto"/>
            </w:tcBorders>
            <w:vAlign w:val="center"/>
            <w:hideMark/>
          </w:tcPr>
          <w:p w14:paraId="3DC019E1"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Overall effectiveness of communication</w:t>
            </w:r>
          </w:p>
        </w:tc>
        <w:tc>
          <w:tcPr>
            <w:tcW w:w="735" w:type="pct"/>
            <w:tcBorders>
              <w:top w:val="outset" w:sz="6" w:space="0" w:color="auto"/>
              <w:left w:val="outset" w:sz="6" w:space="0" w:color="auto"/>
              <w:bottom w:val="outset" w:sz="6" w:space="0" w:color="auto"/>
              <w:right w:val="outset" w:sz="6" w:space="0" w:color="auto"/>
            </w:tcBorders>
            <w:vAlign w:val="center"/>
            <w:hideMark/>
          </w:tcPr>
          <w:p w14:paraId="0DAD9187"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2</w:t>
            </w:r>
          </w:p>
        </w:tc>
      </w:tr>
      <w:tr w:rsidR="003A6DF6" w:rsidRPr="003A6DF6" w14:paraId="5F1272D6" w14:textId="77777777" w:rsidTr="003A6DF6">
        <w:tc>
          <w:tcPr>
            <w:tcW w:w="2500" w:type="pct"/>
            <w:tcBorders>
              <w:top w:val="outset" w:sz="6" w:space="0" w:color="auto"/>
              <w:left w:val="outset" w:sz="6" w:space="0" w:color="auto"/>
              <w:bottom w:val="outset" w:sz="6" w:space="0" w:color="auto"/>
              <w:right w:val="outset" w:sz="6" w:space="0" w:color="auto"/>
            </w:tcBorders>
            <w:vAlign w:val="center"/>
            <w:hideMark/>
          </w:tcPr>
          <w:p w14:paraId="68495FCC"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TOTAL</w:t>
            </w:r>
          </w:p>
        </w:tc>
        <w:tc>
          <w:tcPr>
            <w:tcW w:w="735" w:type="pct"/>
            <w:tcBorders>
              <w:top w:val="outset" w:sz="6" w:space="0" w:color="auto"/>
              <w:left w:val="outset" w:sz="6" w:space="0" w:color="auto"/>
              <w:bottom w:val="outset" w:sz="6" w:space="0" w:color="auto"/>
              <w:right w:val="outset" w:sz="6" w:space="0" w:color="auto"/>
            </w:tcBorders>
            <w:vAlign w:val="center"/>
            <w:hideMark/>
          </w:tcPr>
          <w:p w14:paraId="61ED1383"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10</w:t>
            </w:r>
          </w:p>
        </w:tc>
      </w:tr>
    </w:tbl>
    <w:p w14:paraId="61CC6B4F"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Communicating with the Instructor</w:t>
      </w:r>
    </w:p>
    <w:p w14:paraId="7A3DA14B"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Students should first contact us through email, if we don't have a chance to discuss before or after class.  Please email us directly rather than through Canvas.</w:t>
      </w:r>
    </w:p>
    <w:p w14:paraId="2961B428"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Submitting Assignments</w:t>
      </w:r>
    </w:p>
    <w:p w14:paraId="24492A64"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lastRenderedPageBreak/>
        <w:t xml:space="preserve">All time frames used in class follow Arizona Mountain Standard Time (MST). Arizona does not observe daylight saving time (DST) from March through November; therefore, the time in Arizona will not align with other places that are on MST for half the year. Use a </w:t>
      </w:r>
      <w:hyperlink r:id="rId8" w:history="1">
        <w:r w:rsidRPr="003A6DF6">
          <w:rPr>
            <w:rFonts w:ascii="Times New Roman" w:eastAsia="Times New Roman" w:hAnsi="Times New Roman" w:cs="Times New Roman"/>
            <w:color w:val="0000FF"/>
            <w:u w:val="single"/>
          </w:rPr>
          <w:t xml:space="preserve">Time Converter </w:t>
        </w:r>
      </w:hyperlink>
      <w:r w:rsidRPr="003A6DF6">
        <w:rPr>
          <w:rFonts w:ascii="Times New Roman" w:eastAsia="Times New Roman" w:hAnsi="Times New Roman" w:cs="Times New Roman"/>
        </w:rPr>
        <w:t xml:space="preserve"> to ensure you account for the difference in Time Zones. If you are located in time zone other than Arizona MST, go to your account on the Global Canvas Navigation bar (black background) and edit your settings to reflect your actual time zone. This will adjust the due dates and times in your courses (here is </w:t>
      </w:r>
      <w:hyperlink r:id="rId9" w:history="1">
        <w:r w:rsidRPr="003A6DF6">
          <w:rPr>
            <w:rFonts w:ascii="Times New Roman" w:eastAsia="Times New Roman" w:hAnsi="Times New Roman" w:cs="Times New Roman"/>
            <w:color w:val="0000FF"/>
            <w:u w:val="single"/>
          </w:rPr>
          <w:t>more information</w:t>
        </w:r>
      </w:hyperlink>
      <w:r w:rsidRPr="003A6DF6">
        <w:rPr>
          <w:rFonts w:ascii="Times New Roman" w:eastAsia="Times New Roman" w:hAnsi="Times New Roman" w:cs="Times New Roman"/>
        </w:rPr>
        <w:t xml:space="preserve"> about this).</w:t>
      </w:r>
    </w:p>
    <w:p w14:paraId="25EBF939"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All assignments, </w:t>
      </w:r>
      <w:r w:rsidRPr="003A6DF6">
        <w:rPr>
          <w:rFonts w:ascii="Times New Roman" w:eastAsia="Times New Roman" w:hAnsi="Times New Roman" w:cs="Times New Roman"/>
          <w:i/>
          <w:iCs/>
        </w:rPr>
        <w:t>unless otherwise announced</w:t>
      </w:r>
      <w:r w:rsidRPr="003A6DF6">
        <w:rPr>
          <w:rFonts w:ascii="Times New Roman" w:eastAsia="Times New Roman" w:hAnsi="Times New Roman" w:cs="Times New Roman"/>
        </w:rPr>
        <w:t>, MUST be submitted to the designated area of Canvas. Do not submit an assignment via email (unless asked to do so).</w:t>
      </w:r>
    </w:p>
    <w:p w14:paraId="68C4D0B4"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w:t>
      </w:r>
    </w:p>
    <w:p w14:paraId="618770CA"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Attendance and Absences</w:t>
      </w:r>
    </w:p>
    <w:p w14:paraId="23FEE8B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Attendance, combined with the weekly response papers, comprises a major portion of the total course grade.  This reflects the importance of attending class and actively participating.  Please let us know if you will be absent, if at all possible.  We can then plan accordingly.  We look forward to sharing our thoughts and ideas through active classroom discussions.</w:t>
      </w:r>
    </w:p>
    <w:p w14:paraId="0531E369"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Please follow the appropriate university policies to request absences or accommodations related to </w:t>
      </w:r>
      <w:hyperlink r:id="rId10" w:history="1">
        <w:r w:rsidRPr="003A6DF6">
          <w:rPr>
            <w:rFonts w:ascii="Times New Roman" w:eastAsia="Times New Roman" w:hAnsi="Times New Roman" w:cs="Times New Roman"/>
            <w:color w:val="0000FF"/>
            <w:u w:val="single"/>
          </w:rPr>
          <w:t>ACD 304–04 Accommodation for Religious Practices</w:t>
        </w:r>
      </w:hyperlink>
      <w:r w:rsidRPr="003A6DF6">
        <w:rPr>
          <w:rFonts w:ascii="Times New Roman" w:eastAsia="Times New Roman" w:hAnsi="Times New Roman" w:cs="Times New Roman"/>
        </w:rPr>
        <w:t xml:space="preserve"> and </w:t>
      </w:r>
      <w:hyperlink r:id="rId11" w:history="1">
        <w:r w:rsidRPr="003A6DF6">
          <w:rPr>
            <w:rFonts w:ascii="Times New Roman" w:eastAsia="Times New Roman" w:hAnsi="Times New Roman" w:cs="Times New Roman"/>
            <w:color w:val="0000FF"/>
            <w:u w:val="single"/>
          </w:rPr>
          <w:t>ACD 304–02 Missed Classes Due to University-Sanctioned Activities</w:t>
        </w:r>
      </w:hyperlink>
      <w:r w:rsidRPr="003A6DF6">
        <w:rPr>
          <w:rFonts w:ascii="Times New Roman" w:eastAsia="Times New Roman" w:hAnsi="Times New Roman" w:cs="Times New Roman"/>
        </w:rPr>
        <w:t>.</w:t>
      </w:r>
    </w:p>
    <w:p w14:paraId="65EDF874"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Late or Missed Assignments Policy</w:t>
      </w:r>
    </w:p>
    <w:p w14:paraId="756154A7"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Assignments are due by the beginning of class on the dates due. Late assignments will lose a full letter grade for each day late (10%). Assignments turned in a week late or more will only be worth a maximum of 50% of the points the assignment would have been given if it had been turned in on time. Excuses must be verifiable.</w:t>
      </w:r>
    </w:p>
    <w:p w14:paraId="31F974B1"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Extra Credit</w:t>
      </w:r>
    </w:p>
    <w:p w14:paraId="49FE850A"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Reading responses above the required 10 will count as 3 points of extra credit each.</w:t>
      </w:r>
    </w:p>
    <w:p w14:paraId="4442A933"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How to Do Well in This Class</w:t>
      </w:r>
    </w:p>
    <w:p w14:paraId="4C61D7D4"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Come to class having read (or at least looked at) the readings and be ready to discuss the arguments made by the authors as well as your own thoughts (both individually and comparatively). We advise doing the course readings for the next week on Thursday - Saturday, posting your response memo by Sunday morning, and using other time during the week (M-W) to work on your paper and think about how course reading topics are relevant to your paper topic. Don’t leave the research, reading or writing to the last minute. Ask questions!</w:t>
      </w:r>
    </w:p>
    <w:p w14:paraId="60A1B2BC"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lastRenderedPageBreak/>
        <w:t xml:space="preserve">Course Schedule </w:t>
      </w:r>
      <w:r w:rsidRPr="003A6DF6">
        <w:rPr>
          <w:rFonts w:ascii="Times New Roman" w:eastAsia="Times New Roman" w:hAnsi="Times New Roman" w:cs="Times New Roman"/>
          <w:b/>
          <w:bCs/>
          <w:i/>
          <w:iCs/>
        </w:rPr>
        <w:t>(subject to change: see syllabus disclaimer)</w:t>
      </w:r>
    </w:p>
    <w:tbl>
      <w:tblPr>
        <w:tblW w:w="4568"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727"/>
        <w:gridCol w:w="7824"/>
      </w:tblGrid>
      <w:tr w:rsidR="003A6DF6" w:rsidRPr="003A6DF6" w14:paraId="2049DD36" w14:textId="77777777" w:rsidTr="003A6DF6">
        <w:trPr>
          <w:trHeight w:val="705"/>
        </w:trPr>
        <w:tc>
          <w:tcPr>
            <w:tcW w:w="0" w:type="auto"/>
            <w:gridSpan w:val="2"/>
            <w:tcBorders>
              <w:top w:val="nil"/>
              <w:left w:val="nil"/>
              <w:bottom w:val="nil"/>
              <w:right w:val="nil"/>
            </w:tcBorders>
            <w:vAlign w:val="center"/>
            <w:hideMark/>
          </w:tcPr>
          <w:p w14:paraId="3652C484" w14:textId="77777777" w:rsidR="003A6DF6" w:rsidRPr="003A6DF6" w:rsidRDefault="003A6DF6" w:rsidP="003A6DF6">
            <w:pPr>
              <w:jc w:val="center"/>
              <w:rPr>
                <w:rFonts w:ascii="Times New Roman" w:eastAsia="Times New Roman" w:hAnsi="Times New Roman" w:cs="Times New Roman"/>
              </w:rPr>
            </w:pPr>
            <w:r w:rsidRPr="003A6DF6">
              <w:rPr>
                <w:rFonts w:ascii="Times New Roman" w:eastAsia="Times New Roman" w:hAnsi="Times New Roman" w:cs="Times New Roman"/>
              </w:rPr>
              <w:t>Weekly Course Schedule</w:t>
            </w:r>
          </w:p>
        </w:tc>
      </w:tr>
      <w:tr w:rsidR="003A6DF6" w:rsidRPr="003A6DF6" w14:paraId="277904A4" w14:textId="77777777" w:rsidTr="003A6DF6">
        <w:trPr>
          <w:trHeight w:val="705"/>
        </w:trPr>
        <w:tc>
          <w:tcPr>
            <w:tcW w:w="425" w:type="pct"/>
            <w:tcBorders>
              <w:top w:val="outset" w:sz="6" w:space="0" w:color="auto"/>
              <w:left w:val="outset" w:sz="6" w:space="0" w:color="auto"/>
              <w:bottom w:val="outset" w:sz="6" w:space="0" w:color="auto"/>
              <w:right w:val="outset" w:sz="6" w:space="0" w:color="auto"/>
            </w:tcBorders>
            <w:vAlign w:val="center"/>
            <w:hideMark/>
          </w:tcPr>
          <w:p w14:paraId="4CB8319D" w14:textId="77777777" w:rsidR="003A6DF6" w:rsidRPr="003A6DF6" w:rsidRDefault="003A6DF6" w:rsidP="003A6DF6">
            <w:pPr>
              <w:jc w:val="center"/>
              <w:rPr>
                <w:rFonts w:ascii="Times New Roman" w:eastAsia="Times New Roman" w:hAnsi="Times New Roman" w:cs="Times New Roman"/>
                <w:b/>
                <w:bCs/>
              </w:rPr>
            </w:pPr>
            <w:r w:rsidRPr="003A6DF6">
              <w:rPr>
                <w:rFonts w:ascii="Times New Roman" w:eastAsia="Times New Roman" w:hAnsi="Times New Roman" w:cs="Times New Roman"/>
                <w:b/>
                <w:bCs/>
              </w:rPr>
              <w:t>Week</w:t>
            </w:r>
          </w:p>
        </w:tc>
        <w:tc>
          <w:tcPr>
            <w:tcW w:w="8154" w:type="pct"/>
            <w:tcBorders>
              <w:top w:val="outset" w:sz="6" w:space="0" w:color="auto"/>
              <w:left w:val="outset" w:sz="6" w:space="0" w:color="auto"/>
              <w:bottom w:val="outset" w:sz="6" w:space="0" w:color="auto"/>
              <w:right w:val="outset" w:sz="6" w:space="0" w:color="auto"/>
            </w:tcBorders>
            <w:vAlign w:val="center"/>
            <w:hideMark/>
          </w:tcPr>
          <w:p w14:paraId="51543B6F" w14:textId="77777777" w:rsidR="003A6DF6" w:rsidRPr="003A6DF6" w:rsidRDefault="003A6DF6" w:rsidP="003A6DF6">
            <w:pPr>
              <w:jc w:val="center"/>
              <w:rPr>
                <w:rFonts w:ascii="Times New Roman" w:eastAsia="Times New Roman" w:hAnsi="Times New Roman" w:cs="Times New Roman"/>
                <w:b/>
                <w:bCs/>
              </w:rPr>
            </w:pPr>
            <w:r w:rsidRPr="003A6DF6">
              <w:rPr>
                <w:rFonts w:ascii="Times New Roman" w:eastAsia="Times New Roman" w:hAnsi="Times New Roman" w:cs="Times New Roman"/>
                <w:b/>
                <w:bCs/>
              </w:rPr>
              <w:t>Topic</w:t>
            </w:r>
          </w:p>
        </w:tc>
      </w:tr>
      <w:tr w:rsidR="003A6DF6" w:rsidRPr="003A6DF6" w14:paraId="403B285D"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68B3CFF5"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w:t>
            </w:r>
          </w:p>
        </w:tc>
        <w:tc>
          <w:tcPr>
            <w:tcW w:w="8154" w:type="pct"/>
            <w:tcBorders>
              <w:top w:val="outset" w:sz="6" w:space="0" w:color="auto"/>
              <w:left w:val="outset" w:sz="6" w:space="0" w:color="auto"/>
              <w:bottom w:val="outset" w:sz="6" w:space="0" w:color="auto"/>
              <w:right w:val="outset" w:sz="6" w:space="0" w:color="auto"/>
            </w:tcBorders>
            <w:vAlign w:val="center"/>
            <w:hideMark/>
          </w:tcPr>
          <w:p w14:paraId="553DD5AD"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What is Conservation? What is a park? Why do we have them? What is the role of humans?</w:t>
            </w:r>
          </w:p>
        </w:tc>
      </w:tr>
      <w:tr w:rsidR="003A6DF6" w:rsidRPr="003A6DF6" w14:paraId="621553DC"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38883B72"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2</w:t>
            </w:r>
          </w:p>
        </w:tc>
        <w:tc>
          <w:tcPr>
            <w:tcW w:w="8154" w:type="pct"/>
            <w:tcBorders>
              <w:top w:val="outset" w:sz="6" w:space="0" w:color="auto"/>
              <w:left w:val="outset" w:sz="6" w:space="0" w:color="auto"/>
              <w:bottom w:val="outset" w:sz="6" w:space="0" w:color="auto"/>
              <w:right w:val="outset" w:sz="6" w:space="0" w:color="auto"/>
            </w:tcBorders>
            <w:vAlign w:val="center"/>
            <w:hideMark/>
          </w:tcPr>
          <w:p w14:paraId="5D5D5F1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History of Conservation</w:t>
            </w:r>
          </w:p>
        </w:tc>
      </w:tr>
      <w:tr w:rsidR="003A6DF6" w:rsidRPr="003A6DF6" w14:paraId="3403A9D3"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673F17B4"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3</w:t>
            </w:r>
          </w:p>
        </w:tc>
        <w:tc>
          <w:tcPr>
            <w:tcW w:w="8154" w:type="pct"/>
            <w:tcBorders>
              <w:top w:val="outset" w:sz="6" w:space="0" w:color="auto"/>
              <w:left w:val="outset" w:sz="6" w:space="0" w:color="auto"/>
              <w:bottom w:val="outset" w:sz="6" w:space="0" w:color="auto"/>
              <w:right w:val="outset" w:sz="6" w:space="0" w:color="auto"/>
            </w:tcBorders>
            <w:vAlign w:val="center"/>
            <w:hideMark/>
          </w:tcPr>
          <w:p w14:paraId="7A7D4D19"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The Conservation Debate</w:t>
            </w:r>
          </w:p>
        </w:tc>
      </w:tr>
      <w:tr w:rsidR="003A6DF6" w:rsidRPr="003A6DF6" w14:paraId="726839AC"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0B96D34E"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4</w:t>
            </w:r>
          </w:p>
        </w:tc>
        <w:tc>
          <w:tcPr>
            <w:tcW w:w="8154" w:type="pct"/>
            <w:tcBorders>
              <w:top w:val="outset" w:sz="6" w:space="0" w:color="auto"/>
              <w:left w:val="outset" w:sz="6" w:space="0" w:color="auto"/>
              <w:bottom w:val="outset" w:sz="6" w:space="0" w:color="auto"/>
              <w:right w:val="outset" w:sz="6" w:space="0" w:color="auto"/>
            </w:tcBorders>
            <w:vAlign w:val="center"/>
            <w:hideMark/>
          </w:tcPr>
          <w:p w14:paraId="34350E09"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The shift in conservation practice; New Conservation; bringing people in</w:t>
            </w:r>
          </w:p>
        </w:tc>
      </w:tr>
      <w:tr w:rsidR="003A6DF6" w:rsidRPr="003A6DF6" w14:paraId="75FFFF60"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2379637D"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5</w:t>
            </w:r>
          </w:p>
        </w:tc>
        <w:tc>
          <w:tcPr>
            <w:tcW w:w="8154" w:type="pct"/>
            <w:tcBorders>
              <w:top w:val="outset" w:sz="6" w:space="0" w:color="auto"/>
              <w:left w:val="outset" w:sz="6" w:space="0" w:color="auto"/>
              <w:bottom w:val="outset" w:sz="6" w:space="0" w:color="auto"/>
              <w:right w:val="outset" w:sz="6" w:space="0" w:color="auto"/>
            </w:tcBorders>
            <w:vAlign w:val="center"/>
            <w:hideMark/>
          </w:tcPr>
          <w:p w14:paraId="02EA6A6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Early approaches – pros and cons – CBNRM etc.</w:t>
            </w:r>
          </w:p>
        </w:tc>
      </w:tr>
      <w:tr w:rsidR="003A6DF6" w:rsidRPr="003A6DF6" w14:paraId="57B4C488"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78F4F48B"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6</w:t>
            </w:r>
          </w:p>
        </w:tc>
        <w:tc>
          <w:tcPr>
            <w:tcW w:w="8154" w:type="pct"/>
            <w:tcBorders>
              <w:top w:val="outset" w:sz="6" w:space="0" w:color="auto"/>
              <w:left w:val="outset" w:sz="6" w:space="0" w:color="auto"/>
              <w:bottom w:val="outset" w:sz="6" w:space="0" w:color="auto"/>
              <w:right w:val="outset" w:sz="6" w:space="0" w:color="auto"/>
            </w:tcBorders>
            <w:vAlign w:val="center"/>
            <w:hideMark/>
          </w:tcPr>
          <w:p w14:paraId="6856743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Poverty, Development and Sustainability</w:t>
            </w:r>
          </w:p>
        </w:tc>
      </w:tr>
      <w:tr w:rsidR="003A6DF6" w:rsidRPr="003A6DF6" w14:paraId="46F6B3E6"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4CE486D9"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7</w:t>
            </w:r>
          </w:p>
        </w:tc>
        <w:tc>
          <w:tcPr>
            <w:tcW w:w="8154" w:type="pct"/>
            <w:tcBorders>
              <w:top w:val="outset" w:sz="6" w:space="0" w:color="auto"/>
              <w:left w:val="outset" w:sz="6" w:space="0" w:color="auto"/>
              <w:bottom w:val="outset" w:sz="6" w:space="0" w:color="auto"/>
              <w:right w:val="outset" w:sz="6" w:space="0" w:color="auto"/>
            </w:tcBorders>
            <w:vAlign w:val="center"/>
            <w:hideMark/>
          </w:tcPr>
          <w:p w14:paraId="76160CD1"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History of Development ideas and practice</w:t>
            </w:r>
          </w:p>
        </w:tc>
      </w:tr>
      <w:tr w:rsidR="003A6DF6" w:rsidRPr="003A6DF6" w14:paraId="002F89DD"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01604FB5"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8</w:t>
            </w:r>
          </w:p>
        </w:tc>
        <w:tc>
          <w:tcPr>
            <w:tcW w:w="8154" w:type="pct"/>
            <w:tcBorders>
              <w:top w:val="outset" w:sz="6" w:space="0" w:color="auto"/>
              <w:left w:val="outset" w:sz="6" w:space="0" w:color="auto"/>
              <w:bottom w:val="outset" w:sz="6" w:space="0" w:color="auto"/>
              <w:right w:val="outset" w:sz="6" w:space="0" w:color="auto"/>
            </w:tcBorders>
            <w:vAlign w:val="center"/>
            <w:hideMark/>
          </w:tcPr>
          <w:p w14:paraId="66DE7B5D"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Integrated Conservation and Development – what actually happened?</w:t>
            </w:r>
          </w:p>
        </w:tc>
      </w:tr>
      <w:tr w:rsidR="003A6DF6" w:rsidRPr="003A6DF6" w14:paraId="37DCFD05"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3AC89184"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9</w:t>
            </w:r>
          </w:p>
        </w:tc>
        <w:tc>
          <w:tcPr>
            <w:tcW w:w="8154" w:type="pct"/>
            <w:tcBorders>
              <w:top w:val="outset" w:sz="6" w:space="0" w:color="auto"/>
              <w:left w:val="outset" w:sz="6" w:space="0" w:color="auto"/>
              <w:bottom w:val="outset" w:sz="6" w:space="0" w:color="auto"/>
              <w:right w:val="outset" w:sz="6" w:space="0" w:color="auto"/>
            </w:tcBorders>
            <w:vAlign w:val="center"/>
            <w:hideMark/>
          </w:tcPr>
          <w:p w14:paraId="3B835191" w14:textId="77777777" w:rsidR="003A6DF6" w:rsidRPr="003A6DF6" w:rsidRDefault="003A6DF6" w:rsidP="003A6DF6">
            <w:pPr>
              <w:jc w:val="center"/>
              <w:rPr>
                <w:rFonts w:ascii="Times New Roman" w:eastAsia="Times New Roman" w:hAnsi="Times New Roman" w:cs="Times New Roman"/>
              </w:rPr>
            </w:pPr>
            <w:r w:rsidRPr="003A6DF6">
              <w:rPr>
                <w:rFonts w:ascii="Times New Roman" w:eastAsia="Times New Roman" w:hAnsi="Times New Roman" w:cs="Times New Roman"/>
                <w:b/>
                <w:bCs/>
              </w:rPr>
              <w:t>SPRING BREAK</w:t>
            </w:r>
          </w:p>
        </w:tc>
      </w:tr>
      <w:tr w:rsidR="003A6DF6" w:rsidRPr="003A6DF6" w14:paraId="40969703"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33E37E63"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10</w:t>
            </w:r>
          </w:p>
        </w:tc>
        <w:tc>
          <w:tcPr>
            <w:tcW w:w="8154" w:type="pct"/>
            <w:tcBorders>
              <w:top w:val="outset" w:sz="6" w:space="0" w:color="auto"/>
              <w:left w:val="outset" w:sz="6" w:space="0" w:color="auto"/>
              <w:bottom w:val="outset" w:sz="6" w:space="0" w:color="auto"/>
              <w:right w:val="outset" w:sz="6" w:space="0" w:color="auto"/>
            </w:tcBorders>
            <w:vAlign w:val="center"/>
            <w:hideMark/>
          </w:tcPr>
          <w:p w14:paraId="3974601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Conservation of the Commons: A Governance approach</w:t>
            </w:r>
          </w:p>
        </w:tc>
      </w:tr>
      <w:tr w:rsidR="003A6DF6" w:rsidRPr="003A6DF6" w14:paraId="525A6505"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6C2C2D52"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11</w:t>
            </w:r>
          </w:p>
        </w:tc>
        <w:tc>
          <w:tcPr>
            <w:tcW w:w="8154" w:type="pct"/>
            <w:tcBorders>
              <w:top w:val="outset" w:sz="6" w:space="0" w:color="auto"/>
              <w:left w:val="outset" w:sz="6" w:space="0" w:color="auto"/>
              <w:bottom w:val="outset" w:sz="6" w:space="0" w:color="auto"/>
              <w:right w:val="outset" w:sz="6" w:space="0" w:color="auto"/>
            </w:tcBorders>
            <w:vAlign w:val="center"/>
            <w:hideMark/>
          </w:tcPr>
          <w:p w14:paraId="75D39DD2"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Adaptive Management</w:t>
            </w:r>
          </w:p>
        </w:tc>
      </w:tr>
      <w:tr w:rsidR="003A6DF6" w:rsidRPr="003A6DF6" w14:paraId="52F5900D"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70E241A9"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12</w:t>
            </w:r>
          </w:p>
        </w:tc>
        <w:tc>
          <w:tcPr>
            <w:tcW w:w="8154" w:type="pct"/>
            <w:tcBorders>
              <w:top w:val="outset" w:sz="6" w:space="0" w:color="auto"/>
              <w:left w:val="outset" w:sz="6" w:space="0" w:color="auto"/>
              <w:bottom w:val="outset" w:sz="6" w:space="0" w:color="auto"/>
              <w:right w:val="outset" w:sz="6" w:space="0" w:color="auto"/>
            </w:tcBorders>
            <w:vAlign w:val="center"/>
            <w:hideMark/>
          </w:tcPr>
          <w:p w14:paraId="32FDF039"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Collaboration, Co-Management, and Adaptive Collaborative Management</w:t>
            </w:r>
          </w:p>
        </w:tc>
      </w:tr>
      <w:tr w:rsidR="003A6DF6" w:rsidRPr="003A6DF6" w14:paraId="0A87B62C" w14:textId="77777777" w:rsidTr="003A6DF6">
        <w:tc>
          <w:tcPr>
            <w:tcW w:w="425" w:type="pct"/>
            <w:tcBorders>
              <w:top w:val="outset" w:sz="6" w:space="0" w:color="auto"/>
              <w:left w:val="outset" w:sz="6" w:space="0" w:color="auto"/>
              <w:bottom w:val="outset" w:sz="6" w:space="0" w:color="auto"/>
              <w:right w:val="outset" w:sz="6" w:space="0" w:color="auto"/>
            </w:tcBorders>
            <w:vAlign w:val="center"/>
            <w:hideMark/>
          </w:tcPr>
          <w:p w14:paraId="31A4184B"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13</w:t>
            </w:r>
          </w:p>
        </w:tc>
        <w:tc>
          <w:tcPr>
            <w:tcW w:w="8154" w:type="pct"/>
            <w:tcBorders>
              <w:top w:val="outset" w:sz="6" w:space="0" w:color="auto"/>
              <w:left w:val="outset" w:sz="6" w:space="0" w:color="auto"/>
              <w:bottom w:val="outset" w:sz="6" w:space="0" w:color="auto"/>
              <w:right w:val="outset" w:sz="6" w:space="0" w:color="auto"/>
            </w:tcBorders>
            <w:vAlign w:val="center"/>
            <w:hideMark/>
          </w:tcPr>
          <w:p w14:paraId="7F44B95A"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Toward Resilient Landscapes</w:t>
            </w:r>
          </w:p>
        </w:tc>
      </w:tr>
      <w:tr w:rsidR="003A6DF6" w:rsidRPr="003A6DF6" w14:paraId="325F40A7" w14:textId="77777777" w:rsidTr="003A6DF6">
        <w:tc>
          <w:tcPr>
            <w:tcW w:w="425" w:type="pct"/>
            <w:tcBorders>
              <w:top w:val="outset" w:sz="6" w:space="0" w:color="auto"/>
              <w:left w:val="outset" w:sz="6" w:space="0" w:color="auto"/>
              <w:bottom w:val="outset" w:sz="6" w:space="0" w:color="auto"/>
              <w:right w:val="outset" w:sz="6" w:space="0" w:color="auto"/>
            </w:tcBorders>
            <w:vAlign w:val="center"/>
            <w:hideMark/>
          </w:tcPr>
          <w:p w14:paraId="13646EDC"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14</w:t>
            </w:r>
          </w:p>
        </w:tc>
        <w:tc>
          <w:tcPr>
            <w:tcW w:w="8154" w:type="pct"/>
            <w:tcBorders>
              <w:top w:val="outset" w:sz="6" w:space="0" w:color="auto"/>
              <w:left w:val="outset" w:sz="6" w:space="0" w:color="auto"/>
              <w:bottom w:val="outset" w:sz="6" w:space="0" w:color="auto"/>
              <w:right w:val="outset" w:sz="6" w:space="0" w:color="auto"/>
            </w:tcBorders>
            <w:vAlign w:val="center"/>
            <w:hideMark/>
          </w:tcPr>
          <w:p w14:paraId="0EFD9C3B"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Case studies, examples, and discussion</w:t>
            </w:r>
          </w:p>
        </w:tc>
      </w:tr>
      <w:tr w:rsidR="003A6DF6" w:rsidRPr="003A6DF6" w14:paraId="0FBB1084" w14:textId="77777777" w:rsidTr="003A6DF6">
        <w:trPr>
          <w:trHeight w:val="345"/>
        </w:trPr>
        <w:tc>
          <w:tcPr>
            <w:tcW w:w="425" w:type="pct"/>
            <w:tcBorders>
              <w:top w:val="outset" w:sz="6" w:space="0" w:color="auto"/>
              <w:left w:val="outset" w:sz="6" w:space="0" w:color="auto"/>
              <w:bottom w:val="outset" w:sz="6" w:space="0" w:color="auto"/>
              <w:right w:val="outset" w:sz="6" w:space="0" w:color="auto"/>
            </w:tcBorders>
            <w:vAlign w:val="center"/>
            <w:hideMark/>
          </w:tcPr>
          <w:p w14:paraId="0B400982"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15</w:t>
            </w:r>
          </w:p>
        </w:tc>
        <w:tc>
          <w:tcPr>
            <w:tcW w:w="8154" w:type="pct"/>
            <w:tcBorders>
              <w:top w:val="outset" w:sz="6" w:space="0" w:color="auto"/>
              <w:left w:val="outset" w:sz="6" w:space="0" w:color="auto"/>
              <w:bottom w:val="outset" w:sz="6" w:space="0" w:color="auto"/>
              <w:right w:val="outset" w:sz="6" w:space="0" w:color="auto"/>
            </w:tcBorders>
            <w:vAlign w:val="center"/>
            <w:hideMark/>
          </w:tcPr>
          <w:p w14:paraId="32B9749A"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International Treaties on biodiversity and implementation – CITES and CBD</w:t>
            </w:r>
          </w:p>
        </w:tc>
      </w:tr>
      <w:tr w:rsidR="003A6DF6" w:rsidRPr="003A6DF6" w14:paraId="27534915" w14:textId="77777777" w:rsidTr="003A6DF6">
        <w:tc>
          <w:tcPr>
            <w:tcW w:w="425" w:type="pct"/>
            <w:tcBorders>
              <w:top w:val="outset" w:sz="6" w:space="0" w:color="auto"/>
              <w:left w:val="outset" w:sz="6" w:space="0" w:color="auto"/>
              <w:bottom w:val="outset" w:sz="6" w:space="0" w:color="auto"/>
              <w:right w:val="outset" w:sz="6" w:space="0" w:color="auto"/>
            </w:tcBorders>
            <w:vAlign w:val="center"/>
            <w:hideMark/>
          </w:tcPr>
          <w:p w14:paraId="16753FE5" w14:textId="77777777" w:rsidR="003A6DF6" w:rsidRPr="003A6DF6" w:rsidRDefault="003A6DF6" w:rsidP="003A6DF6">
            <w:pPr>
              <w:rPr>
                <w:rFonts w:ascii="Times New Roman" w:eastAsia="Times New Roman" w:hAnsi="Times New Roman" w:cs="Times New Roman"/>
              </w:rPr>
            </w:pPr>
            <w:r w:rsidRPr="003A6DF6">
              <w:rPr>
                <w:rFonts w:ascii="Times New Roman" w:eastAsia="Times New Roman" w:hAnsi="Times New Roman" w:cs="Times New Roman"/>
              </w:rPr>
              <w:t>16</w:t>
            </w:r>
          </w:p>
        </w:tc>
        <w:tc>
          <w:tcPr>
            <w:tcW w:w="8154" w:type="pct"/>
            <w:tcBorders>
              <w:top w:val="outset" w:sz="6" w:space="0" w:color="auto"/>
              <w:left w:val="outset" w:sz="6" w:space="0" w:color="auto"/>
              <w:bottom w:val="outset" w:sz="6" w:space="0" w:color="auto"/>
              <w:right w:val="outset" w:sz="6" w:space="0" w:color="auto"/>
            </w:tcBorders>
            <w:vAlign w:val="center"/>
            <w:hideMark/>
          </w:tcPr>
          <w:p w14:paraId="2B20E08D"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Final presentations of papers</w:t>
            </w:r>
          </w:p>
        </w:tc>
      </w:tr>
    </w:tbl>
    <w:p w14:paraId="41276586"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w:t>
      </w:r>
    </w:p>
    <w:p w14:paraId="1F6E96AE"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Course Evaluations</w:t>
      </w:r>
    </w:p>
    <w:p w14:paraId="7097523F"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Students are expected to complete the course evaluation. Feedback provides valuable information to the instructor and the college and is used to improve student learning. Students are notified when the online evaluation form is available and students can access it through myASU as well. See </w:t>
      </w:r>
      <w:hyperlink r:id="rId12" w:history="1">
        <w:r w:rsidRPr="003A6DF6">
          <w:rPr>
            <w:rFonts w:ascii="Times New Roman" w:eastAsia="Times New Roman" w:hAnsi="Times New Roman" w:cs="Times New Roman"/>
            <w:color w:val="0000FF"/>
            <w:u w:val="single"/>
          </w:rPr>
          <w:t>Student FAQs</w:t>
        </w:r>
      </w:hyperlink>
      <w:r w:rsidRPr="003A6DF6">
        <w:rPr>
          <w:rFonts w:ascii="Times New Roman" w:eastAsia="Times New Roman" w:hAnsi="Times New Roman" w:cs="Times New Roman"/>
        </w:rPr>
        <w:t xml:space="preserve"> for more information.</w:t>
      </w:r>
    </w:p>
    <w:p w14:paraId="783B2E33"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Use of Personal Electronics During Class</w:t>
      </w:r>
    </w:p>
    <w:p w14:paraId="11684959"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Please turn off or silence cell phones, etc., prior to coming to the face-to-face class sessions, and do not send text messages during class time. If you have an emergency and need to keep in communication with someone, please inform your instructor ahead of time. You may use your </w:t>
      </w:r>
      <w:r w:rsidRPr="003A6DF6">
        <w:rPr>
          <w:rFonts w:ascii="Times New Roman" w:eastAsia="Times New Roman" w:hAnsi="Times New Roman" w:cs="Times New Roman"/>
        </w:rPr>
        <w:lastRenderedPageBreak/>
        <w:t>laptop to take notes. Do not use class time for emails, chats, web browsing, or other non-class related activities.</w:t>
      </w:r>
    </w:p>
    <w:p w14:paraId="68D2A7AF"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Students with Disabilities</w:t>
      </w:r>
    </w:p>
    <w:p w14:paraId="7477C1EF"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ASU’s Disability Resource Center (DRC) is the entity that provides services to students with disabilities.  If you desire accommodation for this course, </w:t>
      </w:r>
      <w:hyperlink r:id="rId13" w:history="1">
        <w:r w:rsidRPr="003A6DF6">
          <w:rPr>
            <w:rFonts w:ascii="Times New Roman" w:eastAsia="Times New Roman" w:hAnsi="Times New Roman" w:cs="Times New Roman"/>
            <w:color w:val="0000FF"/>
            <w:u w:val="single"/>
          </w:rPr>
          <w:t>contact the DRC</w:t>
        </w:r>
      </w:hyperlink>
      <w:r w:rsidRPr="003A6DF6">
        <w:rPr>
          <w:rFonts w:ascii="Times New Roman" w:eastAsia="Times New Roman" w:hAnsi="Times New Roman" w:cs="Times New Roman"/>
        </w:rPr>
        <w:t xml:space="preserve"> to establish your eligibility and make sure they can provide you with the services you will need for this course. Students with disabilities must meet the same standards, deadlines, etc. as any other student in the course.</w:t>
      </w:r>
    </w:p>
    <w:p w14:paraId="3157D41A"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Student Code of Conduct and Academic Integrity</w:t>
      </w:r>
    </w:p>
    <w:p w14:paraId="1170C10A"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Students have the responsibility to understand and follow ASU’s </w:t>
      </w:r>
      <w:hyperlink r:id="rId14" w:history="1">
        <w:r w:rsidRPr="003A6DF6">
          <w:rPr>
            <w:rFonts w:ascii="Times New Roman" w:eastAsia="Times New Roman" w:hAnsi="Times New Roman" w:cs="Times New Roman"/>
            <w:color w:val="0000FF"/>
            <w:u w:val="single"/>
          </w:rPr>
          <w:t>Student Code of Conduct</w:t>
        </w:r>
      </w:hyperlink>
      <w:r w:rsidRPr="003A6DF6">
        <w:rPr>
          <w:rFonts w:ascii="Times New Roman" w:eastAsia="Times New Roman" w:hAnsi="Times New Roman" w:cs="Times New Roman"/>
        </w:rPr>
        <w:t xml:space="preserve"> and </w:t>
      </w:r>
      <w:hyperlink r:id="rId15" w:history="1">
        <w:r w:rsidRPr="003A6DF6">
          <w:rPr>
            <w:rFonts w:ascii="Times New Roman" w:eastAsia="Times New Roman" w:hAnsi="Times New Roman" w:cs="Times New Roman"/>
            <w:color w:val="0000FF"/>
            <w:u w:val="single"/>
          </w:rPr>
          <w:t>Academic Integrity Policy</w:t>
        </w:r>
      </w:hyperlink>
      <w:r w:rsidRPr="003A6DF6">
        <w:rPr>
          <w:rFonts w:ascii="Times New Roman" w:eastAsia="Times New Roman" w:hAnsi="Times New Roman" w:cs="Times New Roman"/>
        </w:rPr>
        <w:t>. You may face ethical decisions during your time as a student. If you’re not sure whether or not something is permitted, it is your responsibility to ask questions or find out by doing more research using the links above. Any violations in this course are subject to sanctions and will be reported to the School of Sustainability and the college or school of your major.</w:t>
      </w:r>
    </w:p>
    <w:p w14:paraId="2DAA5D1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The Office of Student Rights and Responsibilities accepts </w:t>
      </w:r>
      <w:hyperlink r:id="rId16" w:history="1">
        <w:r w:rsidRPr="003A6DF6">
          <w:rPr>
            <w:rFonts w:ascii="Times New Roman" w:eastAsia="Times New Roman" w:hAnsi="Times New Roman" w:cs="Times New Roman"/>
            <w:color w:val="0000FF"/>
            <w:u w:val="single"/>
          </w:rPr>
          <w:t>incident reports</w:t>
        </w:r>
      </w:hyperlink>
      <w:r w:rsidRPr="003A6DF6">
        <w:rPr>
          <w:rFonts w:ascii="Times New Roman" w:eastAsia="Times New Roman" w:hAnsi="Times New Roman" w:cs="Times New Roman"/>
        </w:rPr>
        <w:t xml:space="preserve"> from students, faculty, staff, or other persons who believe that a student or a student organization may have violated the Student Code of Conduct.</w:t>
      </w:r>
    </w:p>
    <w:p w14:paraId="7BC15D78"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Academic Integrity (also known as cheating, copying others’ work, or even reusing your own work) falls under the Student Code of Conduct. Possible sanctions for violations include, but are not limited to, appropriate grade penalties, course failure (indicated on the transcript as a grade of E), course failure due to academic dishonesty (indicated on the transcript as a grade of XE), suspension, and expulsion.</w:t>
      </w:r>
    </w:p>
    <w:p w14:paraId="442BADF1"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Beware that some websites promote themselves as tutoring and educational resource sites, but may actually be sites that put you at risk for an academic integrity violation if you are using the services to submit work that is not your own or gain knowledge of what to expect on a quiz or exam.</w:t>
      </w:r>
    </w:p>
    <w:p w14:paraId="5ABCDF60"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b/>
          <w:bCs/>
        </w:rPr>
        <w:t>Important</w:t>
      </w:r>
      <w:r w:rsidRPr="003A6DF6">
        <w:rPr>
          <w:rFonts w:ascii="Times New Roman" w:eastAsia="Times New Roman" w:hAnsi="Times New Roman" w:cs="Times New Roman"/>
        </w:rPr>
        <w:t>: Students must refrain from uploading to any course shell, discussion board, or website used by the course instructor or other course forum, material that is not the student’s original work, unless the students first comply with all applicable copyright laws; faculty members reserve the right to delete materials on grounds of suspected copyright infringement.</w:t>
      </w:r>
    </w:p>
    <w:p w14:paraId="1AD24423"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Disruptive Student Behavior</w:t>
      </w:r>
    </w:p>
    <w:p w14:paraId="0F8CB986"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Students are entitled to receive instruction free from interference by other members of the class. An instructor may withdraw a student from the course when the student's behavior disrupts the educational process per the </w:t>
      </w:r>
      <w:hyperlink r:id="rId17" w:history="1">
        <w:r w:rsidRPr="003A6DF6">
          <w:rPr>
            <w:rFonts w:ascii="Times New Roman" w:eastAsia="Times New Roman" w:hAnsi="Times New Roman" w:cs="Times New Roman"/>
            <w:color w:val="0000FF"/>
            <w:u w:val="single"/>
          </w:rPr>
          <w:t xml:space="preserve">SSM 201-10 Instructor Withdrawal of a Student for Disruptive </w:t>
        </w:r>
        <w:r w:rsidRPr="003A6DF6">
          <w:rPr>
            <w:rFonts w:ascii="Times New Roman" w:eastAsia="Times New Roman" w:hAnsi="Times New Roman" w:cs="Times New Roman"/>
            <w:color w:val="0000FF"/>
            <w:u w:val="single"/>
          </w:rPr>
          <w:lastRenderedPageBreak/>
          <w:t>Classroom Behavior</w:t>
        </w:r>
      </w:hyperlink>
      <w:r w:rsidRPr="003A6DF6">
        <w:rPr>
          <w:rFonts w:ascii="Times New Roman" w:eastAsia="Times New Roman" w:hAnsi="Times New Roman" w:cs="Times New Roman"/>
        </w:rPr>
        <w:t xml:space="preserve"> and </w:t>
      </w:r>
      <w:hyperlink r:id="rId18" w:history="1">
        <w:r w:rsidRPr="003A6DF6">
          <w:rPr>
            <w:rFonts w:ascii="Times New Roman" w:eastAsia="Times New Roman" w:hAnsi="Times New Roman" w:cs="Times New Roman"/>
            <w:color w:val="0000FF"/>
            <w:u w:val="single"/>
          </w:rPr>
          <w:t>SSM 104–02 Handling Disruptive, Threatening, or Violent Individuals on Campus</w:t>
        </w:r>
      </w:hyperlink>
      <w:r w:rsidRPr="003A6DF6">
        <w:rPr>
          <w:rFonts w:ascii="Times New Roman" w:eastAsia="Times New Roman" w:hAnsi="Times New Roman" w:cs="Times New Roman"/>
        </w:rPr>
        <w:t xml:space="preserve"> policies.</w:t>
      </w:r>
    </w:p>
    <w:p w14:paraId="24B6161C"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Appropriate online behavior (also known as netiquette) is defined by the instructor and includes keeping course discussion posts focused on the assigned topics. Students must maintain a cordial atmosphere and use tact in expressing differences of opinion. Inappropriate discussion board posts may be deleted by the instructor.</w:t>
      </w:r>
    </w:p>
    <w:p w14:paraId="787AEE22"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Discrimination, Harassment, and Retaliation</w:t>
      </w:r>
    </w:p>
    <w:p w14:paraId="1F0E96E0" w14:textId="77777777" w:rsidR="003A6DF6" w:rsidRPr="003A6DF6" w:rsidRDefault="003A6DF6" w:rsidP="003A6DF6">
      <w:pPr>
        <w:spacing w:before="100" w:beforeAutospacing="1" w:after="100" w:afterAutospacing="1"/>
        <w:rPr>
          <w:rFonts w:ascii="Times New Roman" w:eastAsia="Times New Roman" w:hAnsi="Times New Roman" w:cs="Times New Roman"/>
        </w:rPr>
      </w:pPr>
      <w:hyperlink r:id="rId19" w:history="1">
        <w:r w:rsidRPr="003A6DF6">
          <w:rPr>
            <w:rFonts w:ascii="Times New Roman" w:eastAsia="Times New Roman" w:hAnsi="Times New Roman" w:cs="Times New Roman"/>
            <w:color w:val="0000FF"/>
            <w:u w:val="single"/>
          </w:rPr>
          <w:t>ACD-401 Prohibition against Discrimination, Harassment, and Retaliation</w:t>
        </w:r>
      </w:hyperlink>
      <w:r w:rsidRPr="003A6DF6">
        <w:rPr>
          <w:rFonts w:ascii="Times New Roman" w:eastAsia="Times New Roman" w:hAnsi="Times New Roman" w:cs="Times New Roman"/>
        </w:rPr>
        <w:t>, prohibits discrimination, harassment or retaliation on the basis of race, sex, gender identity, age, religion, national origin, disability, sexual orientation, and veteran status. Violations of this policy may result in disciplinary action, including termination of employees or expulsion of students. Contact the Office of Student Rights and Responsibilities at (480) 965-6547, if you feel another student is harassing you based on any of the factors above; contact the Office of Equity and Inclusion at (480) 965-5057 if you feel an ASU employee is harassing you based on any of the factors above.</w:t>
      </w:r>
    </w:p>
    <w:p w14:paraId="0DBEC10E"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ASU continues to implement U.S. Department of Education guidance regarding sexual assaults under Title IX federal law that provides that no person be excluded on the basis of sex from participation in, be denied benefits of, or be subjected to discrimination under any education program or activity. Both Title IX and university policy make clear that sexual violence and harassment based on sex is prohibited.  An individual who believes they have been subjected to sexual violence or harassed on the basis of sex can seek support, including counseling and academic support, from the university.  If you or someone you know has been harassed on the basis of sex or sexually assaulted, you can find information and resources on ASU’s </w:t>
      </w:r>
      <w:hyperlink r:id="rId20" w:history="1">
        <w:r w:rsidRPr="003A6DF6">
          <w:rPr>
            <w:rFonts w:ascii="Times New Roman" w:eastAsia="Times New Roman" w:hAnsi="Times New Roman" w:cs="Times New Roman"/>
            <w:color w:val="0000FF"/>
            <w:u w:val="single"/>
          </w:rPr>
          <w:t>Sexual Violence Awareness</w:t>
        </w:r>
      </w:hyperlink>
      <w:r w:rsidRPr="003A6DF6">
        <w:rPr>
          <w:rFonts w:ascii="Times New Roman" w:eastAsia="Times New Roman" w:hAnsi="Times New Roman" w:cs="Times New Roman"/>
        </w:rPr>
        <w:t xml:space="preserve"> page.</w:t>
      </w:r>
    </w:p>
    <w:p w14:paraId="6A00F9F8"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As a mandated reporter, I am obligated to report any information I become aware of regarding alleged acts of sexual discrimination, including sexual violence and dating violence. </w:t>
      </w:r>
      <w:hyperlink r:id="rId21" w:history="1">
        <w:r w:rsidRPr="003A6DF6">
          <w:rPr>
            <w:rFonts w:ascii="Times New Roman" w:eastAsia="Times New Roman" w:hAnsi="Times New Roman" w:cs="Times New Roman"/>
            <w:color w:val="0000FF"/>
            <w:u w:val="single"/>
          </w:rPr>
          <w:t>ASU Counseling Services</w:t>
        </w:r>
      </w:hyperlink>
      <w:r w:rsidRPr="003A6DF6">
        <w:rPr>
          <w:rFonts w:ascii="Times New Roman" w:eastAsia="Times New Roman" w:hAnsi="Times New Roman" w:cs="Times New Roman"/>
        </w:rPr>
        <w:t>  are available if you wish discuss any concerns confidentially and privately.</w:t>
      </w:r>
    </w:p>
    <w:p w14:paraId="42828EAA"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Add/Drop/Withdrawals Deadline</w:t>
      </w:r>
    </w:p>
    <w:p w14:paraId="25A7D4FE"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ASU’s </w:t>
      </w:r>
      <w:hyperlink r:id="rId22" w:history="1">
        <w:r w:rsidRPr="003A6DF6">
          <w:rPr>
            <w:rFonts w:ascii="Times New Roman" w:eastAsia="Times New Roman" w:hAnsi="Times New Roman" w:cs="Times New Roman"/>
            <w:color w:val="0000FF"/>
            <w:u w:val="single"/>
          </w:rPr>
          <w:t>Academic Calendar</w:t>
        </w:r>
      </w:hyperlink>
      <w:r w:rsidRPr="003A6DF6">
        <w:rPr>
          <w:rFonts w:ascii="Times New Roman" w:eastAsia="Times New Roman" w:hAnsi="Times New Roman" w:cs="Times New Roman"/>
        </w:rPr>
        <w:t xml:space="preserve"> contains important dates by which you can add or drop this course without penalty called “Last Day to Drop/Add Without College Approval”. The deadline to add or drop this course without penalty is January 18, 2019. After this date, if you choose to withdraw from the course, you may do so, but will receive a ‘W’ on your official transcript. For more details on dropping or withdrawing from courses, please visit: </w:t>
      </w:r>
      <w:hyperlink r:id="rId23" w:history="1">
        <w:r w:rsidRPr="003A6DF6">
          <w:rPr>
            <w:rFonts w:ascii="Times New Roman" w:eastAsia="Times New Roman" w:hAnsi="Times New Roman" w:cs="Times New Roman"/>
            <w:color w:val="0000FF"/>
            <w:u w:val="single"/>
          </w:rPr>
          <w:t>http://students.asu.edu/drop-add</w:t>
        </w:r>
      </w:hyperlink>
      <w:r w:rsidRPr="003A6DF6">
        <w:rPr>
          <w:rFonts w:ascii="Times New Roman" w:eastAsia="Times New Roman" w:hAnsi="Times New Roman" w:cs="Times New Roman"/>
        </w:rPr>
        <w:t>.</w:t>
      </w:r>
    </w:p>
    <w:p w14:paraId="32A2E7D2"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Grade Appeals</w:t>
      </w:r>
    </w:p>
    <w:p w14:paraId="2EA42B12"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lastRenderedPageBreak/>
        <w:t>Grade disputes must first be addressed by discussing the situation with the instructor. If the dispute is not resolved with the instructor, the student may appeal to the School of Sustainability per the </w:t>
      </w:r>
      <w:hyperlink r:id="rId24" w:history="1">
        <w:r w:rsidRPr="003A6DF6">
          <w:rPr>
            <w:rFonts w:ascii="Times New Roman" w:eastAsia="Times New Roman" w:hAnsi="Times New Roman" w:cs="Times New Roman"/>
            <w:color w:val="0000FF"/>
            <w:u w:val="single"/>
          </w:rPr>
          <w:t>University Policy for Student Appeal Procedures on Grades</w:t>
        </w:r>
      </w:hyperlink>
      <w:r w:rsidRPr="003A6DF6">
        <w:rPr>
          <w:rFonts w:ascii="Times New Roman" w:eastAsia="Times New Roman" w:hAnsi="Times New Roman" w:cs="Times New Roman"/>
        </w:rPr>
        <w:t xml:space="preserve">. See additional instructions for </w:t>
      </w:r>
      <w:hyperlink r:id="rId25" w:history="1">
        <w:r w:rsidRPr="003A6DF6">
          <w:rPr>
            <w:rFonts w:ascii="Times New Roman" w:eastAsia="Times New Roman" w:hAnsi="Times New Roman" w:cs="Times New Roman"/>
            <w:color w:val="0000FF"/>
            <w:u w:val="single"/>
          </w:rPr>
          <w:t>undergraduate SOS courses</w:t>
        </w:r>
      </w:hyperlink>
      <w:r w:rsidRPr="003A6DF6">
        <w:rPr>
          <w:rFonts w:ascii="Times New Roman" w:eastAsia="Times New Roman" w:hAnsi="Times New Roman" w:cs="Times New Roman"/>
        </w:rPr>
        <w:t xml:space="preserve"> and </w:t>
      </w:r>
      <w:hyperlink r:id="rId26" w:history="1">
        <w:r w:rsidRPr="003A6DF6">
          <w:rPr>
            <w:rFonts w:ascii="Times New Roman" w:eastAsia="Times New Roman" w:hAnsi="Times New Roman" w:cs="Times New Roman"/>
            <w:color w:val="0000FF"/>
            <w:u w:val="single"/>
          </w:rPr>
          <w:t>graduate SOS courses</w:t>
        </w:r>
      </w:hyperlink>
      <w:r w:rsidRPr="003A6DF6">
        <w:rPr>
          <w:rFonts w:ascii="Times New Roman" w:eastAsia="Times New Roman" w:hAnsi="Times New Roman" w:cs="Times New Roman"/>
        </w:rPr>
        <w:t xml:space="preserve"> (under Grade Appeal).</w:t>
      </w:r>
    </w:p>
    <w:p w14:paraId="6B152BD3"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Computer Requirements</w:t>
      </w:r>
    </w:p>
    <w:p w14:paraId="263F3923"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This course requires a computer with Internet access and the following:</w:t>
      </w:r>
    </w:p>
    <w:p w14:paraId="627FB460" w14:textId="77777777" w:rsidR="003A6DF6" w:rsidRPr="003A6DF6" w:rsidRDefault="003A6DF6" w:rsidP="003A6DF6">
      <w:pPr>
        <w:numPr>
          <w:ilvl w:val="0"/>
          <w:numId w:val="3"/>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Web browsers (</w:t>
      </w:r>
      <w:hyperlink r:id="rId27" w:history="1">
        <w:r w:rsidRPr="003A6DF6">
          <w:rPr>
            <w:rFonts w:ascii="Times New Roman" w:eastAsia="Times New Roman" w:hAnsi="Times New Roman" w:cs="Times New Roman"/>
            <w:color w:val="0000FF"/>
            <w:u w:val="single"/>
          </w:rPr>
          <w:t>Chrome</w:t>
        </w:r>
      </w:hyperlink>
      <w:r w:rsidRPr="003A6DF6">
        <w:rPr>
          <w:rFonts w:ascii="Times New Roman" w:eastAsia="Times New Roman" w:hAnsi="Times New Roman" w:cs="Times New Roman"/>
        </w:rPr>
        <w:t>, </w:t>
      </w:r>
      <w:hyperlink r:id="rId28" w:history="1">
        <w:r w:rsidRPr="003A6DF6">
          <w:rPr>
            <w:rFonts w:ascii="Times New Roman" w:eastAsia="Times New Roman" w:hAnsi="Times New Roman" w:cs="Times New Roman"/>
            <w:color w:val="0000FF"/>
            <w:u w:val="single"/>
          </w:rPr>
          <w:t>Internet Explorer</w:t>
        </w:r>
      </w:hyperlink>
      <w:r w:rsidRPr="003A6DF6">
        <w:rPr>
          <w:rFonts w:ascii="Times New Roman" w:eastAsia="Times New Roman" w:hAnsi="Times New Roman" w:cs="Times New Roman"/>
        </w:rPr>
        <w:t>, </w:t>
      </w:r>
      <w:hyperlink r:id="rId29" w:history="1">
        <w:r w:rsidRPr="003A6DF6">
          <w:rPr>
            <w:rFonts w:ascii="Times New Roman" w:eastAsia="Times New Roman" w:hAnsi="Times New Roman" w:cs="Times New Roman"/>
            <w:color w:val="0000FF"/>
            <w:u w:val="single"/>
          </w:rPr>
          <w:t>Mozilla Firefox</w:t>
        </w:r>
      </w:hyperlink>
      <w:r w:rsidRPr="003A6DF6">
        <w:rPr>
          <w:rFonts w:ascii="Times New Roman" w:eastAsia="Times New Roman" w:hAnsi="Times New Roman" w:cs="Times New Roman"/>
        </w:rPr>
        <w:t>, or </w:t>
      </w:r>
      <w:hyperlink r:id="rId30" w:history="1">
        <w:r w:rsidRPr="003A6DF6">
          <w:rPr>
            <w:rFonts w:ascii="Times New Roman" w:eastAsia="Times New Roman" w:hAnsi="Times New Roman" w:cs="Times New Roman"/>
            <w:color w:val="0000FF"/>
            <w:u w:val="single"/>
          </w:rPr>
          <w:t>Safari</w:t>
        </w:r>
      </w:hyperlink>
      <w:r w:rsidRPr="003A6DF6">
        <w:rPr>
          <w:rFonts w:ascii="Times New Roman" w:eastAsia="Times New Roman" w:hAnsi="Times New Roman" w:cs="Times New Roman"/>
        </w:rPr>
        <w:t>)</w:t>
      </w:r>
    </w:p>
    <w:p w14:paraId="5837BDB6" w14:textId="77777777" w:rsidR="003A6DF6" w:rsidRPr="003A6DF6" w:rsidRDefault="003A6DF6" w:rsidP="003A6DF6">
      <w:pPr>
        <w:numPr>
          <w:ilvl w:val="0"/>
          <w:numId w:val="3"/>
        </w:numPr>
        <w:spacing w:before="100" w:beforeAutospacing="1" w:after="100" w:afterAutospacing="1"/>
        <w:rPr>
          <w:rFonts w:ascii="Times New Roman" w:eastAsia="Times New Roman" w:hAnsi="Times New Roman" w:cs="Times New Roman"/>
        </w:rPr>
      </w:pPr>
      <w:hyperlink r:id="rId31" w:history="1">
        <w:r w:rsidRPr="003A6DF6">
          <w:rPr>
            <w:rFonts w:ascii="Times New Roman" w:eastAsia="Times New Roman" w:hAnsi="Times New Roman" w:cs="Times New Roman"/>
            <w:color w:val="0000FF"/>
            <w:u w:val="single"/>
          </w:rPr>
          <w:t>Adobe Acrobat Reader</w:t>
        </w:r>
      </w:hyperlink>
      <w:r w:rsidRPr="003A6DF6">
        <w:rPr>
          <w:rFonts w:ascii="Times New Roman" w:eastAsia="Times New Roman" w:hAnsi="Times New Roman" w:cs="Times New Roman"/>
        </w:rPr>
        <w:t xml:space="preserve"> (free)</w:t>
      </w:r>
    </w:p>
    <w:p w14:paraId="6D75CC1A" w14:textId="77777777" w:rsidR="003A6DF6" w:rsidRPr="003A6DF6" w:rsidRDefault="003A6DF6" w:rsidP="003A6DF6">
      <w:pPr>
        <w:numPr>
          <w:ilvl w:val="0"/>
          <w:numId w:val="3"/>
        </w:numPr>
        <w:spacing w:before="100" w:beforeAutospacing="1" w:after="100" w:afterAutospacing="1"/>
        <w:rPr>
          <w:rFonts w:ascii="Times New Roman" w:eastAsia="Times New Roman" w:hAnsi="Times New Roman" w:cs="Times New Roman"/>
        </w:rPr>
      </w:pPr>
      <w:hyperlink r:id="rId32" w:history="1">
        <w:r w:rsidRPr="003A6DF6">
          <w:rPr>
            <w:rFonts w:ascii="Times New Roman" w:eastAsia="Times New Roman" w:hAnsi="Times New Roman" w:cs="Times New Roman"/>
            <w:color w:val="0000FF"/>
            <w:u w:val="single"/>
          </w:rPr>
          <w:t>Adobe Flash Player</w:t>
        </w:r>
      </w:hyperlink>
      <w:r w:rsidRPr="003A6DF6">
        <w:rPr>
          <w:rFonts w:ascii="Times New Roman" w:eastAsia="Times New Roman" w:hAnsi="Times New Roman" w:cs="Times New Roman"/>
        </w:rPr>
        <w:t> (free)</w:t>
      </w:r>
    </w:p>
    <w:p w14:paraId="5B23EB3E" w14:textId="77777777" w:rsidR="003A6DF6" w:rsidRPr="003A6DF6" w:rsidRDefault="003A6DF6" w:rsidP="003A6DF6">
      <w:pPr>
        <w:numPr>
          <w:ilvl w:val="0"/>
          <w:numId w:val="3"/>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A webcam, microphone, headset/earbuds, and speaker</w:t>
      </w:r>
    </w:p>
    <w:p w14:paraId="0C0495A6" w14:textId="77777777" w:rsidR="003A6DF6" w:rsidRPr="003A6DF6" w:rsidRDefault="003A6DF6" w:rsidP="003A6DF6">
      <w:pPr>
        <w:numPr>
          <w:ilvl w:val="0"/>
          <w:numId w:val="3"/>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Microsoft Office (</w:t>
      </w:r>
      <w:hyperlink r:id="rId33" w:history="1">
        <w:r w:rsidRPr="003A6DF6">
          <w:rPr>
            <w:rFonts w:ascii="Times New Roman" w:eastAsia="Times New Roman" w:hAnsi="Times New Roman" w:cs="Times New Roman"/>
            <w:color w:val="0000FF"/>
            <w:u w:val="single"/>
          </w:rPr>
          <w:t>Microsoft 365</w:t>
        </w:r>
      </w:hyperlink>
      <w:r w:rsidRPr="003A6DF6">
        <w:rPr>
          <w:rFonts w:ascii="Times New Roman" w:eastAsia="Times New Roman" w:hAnsi="Times New Roman" w:cs="Times New Roman"/>
        </w:rPr>
        <w:t xml:space="preserve"> is free for all currently-enrolled ASU students)</w:t>
      </w:r>
    </w:p>
    <w:p w14:paraId="26EDB8E7" w14:textId="77777777" w:rsidR="003A6DF6" w:rsidRPr="003A6DF6" w:rsidRDefault="003A6DF6" w:rsidP="003A6DF6">
      <w:pPr>
        <w:numPr>
          <w:ilvl w:val="0"/>
          <w:numId w:val="3"/>
        </w:num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Reliable broadband internet connection (DSL or cable) to stream video</w:t>
      </w:r>
    </w:p>
    <w:p w14:paraId="08DB4738"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Note: A smartphone, iPad, Chromebook, etc. will not be sufficient for completing your work in online courses. While you will be able to access course content with mobile devices, you must use a computer for some assessments.</w:t>
      </w:r>
    </w:p>
    <w:p w14:paraId="5F47E5E4"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Email and Internet</w:t>
      </w:r>
    </w:p>
    <w:p w14:paraId="644B3EA8"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You must have an active ASU email account and access to the Internet. ASU email is an </w:t>
      </w:r>
      <w:hyperlink r:id="rId34" w:history="1">
        <w:r w:rsidRPr="003A6DF6">
          <w:rPr>
            <w:rFonts w:ascii="Times New Roman" w:eastAsia="Times New Roman" w:hAnsi="Times New Roman" w:cs="Times New Roman"/>
            <w:color w:val="0000FF"/>
            <w:u w:val="single"/>
          </w:rPr>
          <w:t>official means of communication</w:t>
        </w:r>
      </w:hyperlink>
      <w:r w:rsidRPr="003A6DF6">
        <w:rPr>
          <w:rFonts w:ascii="Times New Roman" w:eastAsia="Times New Roman" w:hAnsi="Times New Roman" w:cs="Times New Roman"/>
        </w:rPr>
        <w:t xml:space="preserve"> among students, faculty, and staff. Students are expected to read and act upon email in a timely fashion. Students bear the responsibility of missed messages and should check their ASU-assigned email regularly. All instructor correspondence will be sent to your ASU email account.</w:t>
      </w:r>
    </w:p>
    <w:p w14:paraId="35AFA346"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Technical Support Contact Information</w:t>
      </w:r>
    </w:p>
    <w:p w14:paraId="2E179204"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If you are experiencing technical issues, visit the </w:t>
      </w:r>
      <w:hyperlink r:id="rId35" w:history="1">
        <w:r w:rsidRPr="003A6DF6">
          <w:rPr>
            <w:rFonts w:ascii="Times New Roman" w:eastAsia="Times New Roman" w:hAnsi="Times New Roman" w:cs="Times New Roman"/>
            <w:color w:val="0000FF"/>
            <w:u w:val="single"/>
          </w:rPr>
          <w:t>My ASU</w:t>
        </w:r>
      </w:hyperlink>
      <w:r w:rsidRPr="003A6DF6">
        <w:rPr>
          <w:rFonts w:ascii="Times New Roman" w:eastAsia="Times New Roman" w:hAnsi="Times New Roman" w:cs="Times New Roman"/>
        </w:rPr>
        <w:t xml:space="preserve"> “Service Center” tab for immediate support, to review answers to frequently asked questions, or to submit a request for service.</w:t>
      </w:r>
    </w:p>
    <w:p w14:paraId="59497845"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The number for immediate assistance is 1-855-278-5080 with staff available 24 hours/day, 7 days/week to help direct your call. Also see </w:t>
      </w:r>
      <w:hyperlink r:id="rId36" w:history="1">
        <w:r w:rsidRPr="003A6DF6">
          <w:rPr>
            <w:rFonts w:ascii="Times New Roman" w:eastAsia="Times New Roman" w:hAnsi="Times New Roman" w:cs="Times New Roman"/>
            <w:color w:val="0000FF"/>
            <w:u w:val="single"/>
          </w:rPr>
          <w:t>ASU’s Contact Us</w:t>
        </w:r>
      </w:hyperlink>
      <w:r w:rsidRPr="003A6DF6">
        <w:rPr>
          <w:rFonts w:ascii="Times New Roman" w:eastAsia="Times New Roman" w:hAnsi="Times New Roman" w:cs="Times New Roman"/>
        </w:rPr>
        <w:t xml:space="preserve"> page. Known issues and system outages will be shared on </w:t>
      </w:r>
      <w:hyperlink r:id="rId37" w:history="1">
        <w:r w:rsidRPr="003A6DF6">
          <w:rPr>
            <w:rFonts w:ascii="Times New Roman" w:eastAsia="Times New Roman" w:hAnsi="Times New Roman" w:cs="Times New Roman"/>
            <w:color w:val="0000FF"/>
            <w:u w:val="single"/>
          </w:rPr>
          <w:t>ASU’s System Health</w:t>
        </w:r>
      </w:hyperlink>
      <w:r w:rsidRPr="003A6DF6">
        <w:rPr>
          <w:rFonts w:ascii="Times New Roman" w:eastAsia="Times New Roman" w:hAnsi="Times New Roman" w:cs="Times New Roman"/>
        </w:rPr>
        <w:t xml:space="preserve"> site.</w:t>
      </w:r>
    </w:p>
    <w:p w14:paraId="7297E094"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Students also have access to several </w:t>
      </w:r>
      <w:hyperlink r:id="rId38" w:history="1">
        <w:r w:rsidRPr="003A6DF6">
          <w:rPr>
            <w:rFonts w:ascii="Times New Roman" w:eastAsia="Times New Roman" w:hAnsi="Times New Roman" w:cs="Times New Roman"/>
            <w:color w:val="0000FF"/>
            <w:u w:val="single"/>
          </w:rPr>
          <w:t>computing sites</w:t>
        </w:r>
      </w:hyperlink>
      <w:r w:rsidRPr="003A6DF6">
        <w:rPr>
          <w:rFonts w:ascii="Times New Roman" w:eastAsia="Times New Roman" w:hAnsi="Times New Roman" w:cs="Times New Roman"/>
        </w:rPr>
        <w:t>.</w:t>
      </w:r>
    </w:p>
    <w:p w14:paraId="478F9516"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Power and System Outages</w:t>
      </w:r>
    </w:p>
    <w:p w14:paraId="6A5748A1"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 xml:space="preserve">In the event of a power outage or other event affecting the ability of the University to deliver ground and online classes, any decision to cancel classes will be announced using the ASU emergency notification system for ground campus students. Ground campus students should </w:t>
      </w:r>
      <w:r w:rsidRPr="003A6DF6">
        <w:rPr>
          <w:rFonts w:ascii="Times New Roman" w:eastAsia="Times New Roman" w:hAnsi="Times New Roman" w:cs="Times New Roman"/>
        </w:rPr>
        <w:lastRenderedPageBreak/>
        <w:t xml:space="preserve">register with the </w:t>
      </w:r>
      <w:hyperlink r:id="rId39" w:history="1">
        <w:r w:rsidRPr="003A6DF6">
          <w:rPr>
            <w:rFonts w:ascii="Times New Roman" w:eastAsia="Times New Roman" w:hAnsi="Times New Roman" w:cs="Times New Roman"/>
            <w:color w:val="0000FF"/>
            <w:u w:val="single"/>
          </w:rPr>
          <w:t>ASU LiveSafe</w:t>
        </w:r>
      </w:hyperlink>
      <w:r w:rsidRPr="003A6DF6">
        <w:rPr>
          <w:rFonts w:ascii="Times New Roman" w:eastAsia="Times New Roman" w:hAnsi="Times New Roman" w:cs="Times New Roman"/>
        </w:rPr>
        <w:t xml:space="preserve"> mobile app. Additionally, ground campus and online students can learn about power and system outages on the </w:t>
      </w:r>
      <w:hyperlink r:id="rId40" w:history="1">
        <w:r w:rsidRPr="003A6DF6">
          <w:rPr>
            <w:rFonts w:ascii="Times New Roman" w:eastAsia="Times New Roman" w:hAnsi="Times New Roman" w:cs="Times New Roman"/>
            <w:color w:val="0000FF"/>
            <w:u w:val="single"/>
          </w:rPr>
          <w:t>ASU System Health</w:t>
        </w:r>
      </w:hyperlink>
      <w:r w:rsidRPr="003A6DF6">
        <w:rPr>
          <w:rFonts w:ascii="Times New Roman" w:eastAsia="Times New Roman" w:hAnsi="Times New Roman" w:cs="Times New Roman"/>
        </w:rPr>
        <w:t xml:space="preserve"> site.</w:t>
      </w:r>
    </w:p>
    <w:p w14:paraId="318A27F3"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Emergency Evacuation Plan</w:t>
      </w:r>
    </w:p>
    <w:p w14:paraId="1C2B587E" w14:textId="77777777" w:rsidR="003A6DF6" w:rsidRPr="003A6DF6" w:rsidRDefault="003A6DF6" w:rsidP="003A6DF6">
      <w:pPr>
        <w:spacing w:before="100" w:beforeAutospacing="1" w:after="100" w:afterAutospacing="1"/>
        <w:rPr>
          <w:rFonts w:ascii="Times New Roman" w:eastAsia="Times New Roman" w:hAnsi="Times New Roman" w:cs="Times New Roman"/>
        </w:rPr>
      </w:pPr>
      <w:r w:rsidRPr="003A6DF6">
        <w:rPr>
          <w:rFonts w:ascii="Times New Roman" w:eastAsia="Times New Roman" w:hAnsi="Times New Roman" w:cs="Times New Roman"/>
        </w:rPr>
        <w:t>Students should be aware of the evacuation route posted on the exit door of each classroom. Students who cannot walk up or down stairs should notify the instructors as early in the course as possible so the instructors can provide information regarding the location of a designated meeting area on each floor of the building.</w:t>
      </w:r>
    </w:p>
    <w:p w14:paraId="45EE8AA0" w14:textId="77777777" w:rsidR="003A6DF6" w:rsidRPr="003A6DF6" w:rsidRDefault="003A6DF6" w:rsidP="003A6DF6">
      <w:pPr>
        <w:spacing w:before="100" w:beforeAutospacing="1" w:after="100" w:afterAutospacing="1"/>
        <w:outlineLvl w:val="1"/>
        <w:rPr>
          <w:rFonts w:ascii="Times New Roman" w:eastAsia="Times New Roman" w:hAnsi="Times New Roman" w:cs="Times New Roman"/>
          <w:b/>
          <w:bCs/>
          <w:sz w:val="36"/>
          <w:szCs w:val="36"/>
        </w:rPr>
      </w:pPr>
      <w:r w:rsidRPr="003A6DF6">
        <w:rPr>
          <w:rFonts w:ascii="Times New Roman" w:eastAsia="Times New Roman" w:hAnsi="Times New Roman" w:cs="Times New Roman"/>
          <w:b/>
          <w:bCs/>
          <w:sz w:val="36"/>
          <w:szCs w:val="36"/>
        </w:rPr>
        <w:t>Additional Information and Resources</w:t>
      </w:r>
    </w:p>
    <w:p w14:paraId="6B490672" w14:textId="77777777" w:rsidR="003A6DF6" w:rsidRPr="003A6DF6" w:rsidRDefault="003A6DF6" w:rsidP="003A6DF6">
      <w:pPr>
        <w:numPr>
          <w:ilvl w:val="0"/>
          <w:numId w:val="4"/>
        </w:numPr>
        <w:spacing w:before="100" w:beforeAutospacing="1" w:after="100" w:afterAutospacing="1"/>
        <w:rPr>
          <w:rFonts w:ascii="Times New Roman" w:eastAsia="Times New Roman" w:hAnsi="Times New Roman" w:cs="Times New Roman"/>
        </w:rPr>
      </w:pPr>
      <w:hyperlink r:id="rId41" w:history="1">
        <w:r w:rsidRPr="003A6DF6">
          <w:rPr>
            <w:rFonts w:ascii="Times New Roman" w:eastAsia="Times New Roman" w:hAnsi="Times New Roman" w:cs="Times New Roman"/>
            <w:i/>
            <w:iCs/>
            <w:color w:val="0000FF"/>
            <w:u w:val="single"/>
          </w:rPr>
          <w:t>School of Sustainability</w:t>
        </w:r>
      </w:hyperlink>
      <w:r w:rsidRPr="003A6DF6">
        <w:rPr>
          <w:rFonts w:ascii="Times New Roman" w:eastAsia="Times New Roman" w:hAnsi="Times New Roman" w:cs="Times New Roman"/>
        </w:rPr>
        <w:t xml:space="preserve"> – this course is offered through the School of Sustainability at Arizona State University. Questions about the course should first be addressed with the instructor. If necessary, you can also contact the school at (480) 727-6963 or </w:t>
      </w:r>
      <w:hyperlink r:id="rId42" w:history="1">
        <w:r w:rsidRPr="003A6DF6">
          <w:rPr>
            <w:rFonts w:ascii="Times New Roman" w:eastAsia="Times New Roman" w:hAnsi="Times New Roman" w:cs="Times New Roman"/>
            <w:color w:val="0000FF"/>
            <w:u w:val="single"/>
          </w:rPr>
          <w:t>schoolofsustainability@asu.edu</w:t>
        </w:r>
      </w:hyperlink>
      <w:r w:rsidRPr="003A6DF6">
        <w:rPr>
          <w:rFonts w:ascii="Times New Roman" w:eastAsia="Times New Roman" w:hAnsi="Times New Roman" w:cs="Times New Roman"/>
        </w:rPr>
        <w:t>.</w:t>
      </w:r>
    </w:p>
    <w:p w14:paraId="6B8939F3" w14:textId="77777777" w:rsidR="003A6DF6" w:rsidRPr="003A6DF6" w:rsidRDefault="003A6DF6" w:rsidP="003A6DF6">
      <w:pPr>
        <w:numPr>
          <w:ilvl w:val="0"/>
          <w:numId w:val="4"/>
        </w:numPr>
        <w:spacing w:before="100" w:beforeAutospacing="1" w:after="100" w:afterAutospacing="1"/>
        <w:rPr>
          <w:rFonts w:ascii="Times New Roman" w:eastAsia="Times New Roman" w:hAnsi="Times New Roman" w:cs="Times New Roman"/>
        </w:rPr>
      </w:pPr>
      <w:hyperlink r:id="rId43" w:history="1">
        <w:r w:rsidRPr="003A6DF6">
          <w:rPr>
            <w:rFonts w:ascii="Times New Roman" w:eastAsia="Times New Roman" w:hAnsi="Times New Roman" w:cs="Times New Roman"/>
            <w:i/>
            <w:iCs/>
            <w:color w:val="0000FF"/>
            <w:u w:val="single"/>
          </w:rPr>
          <w:t>Career Services</w:t>
        </w:r>
      </w:hyperlink>
      <w:r w:rsidRPr="003A6DF6">
        <w:rPr>
          <w:rFonts w:ascii="Times New Roman" w:eastAsia="Times New Roman" w:hAnsi="Times New Roman" w:cs="Times New Roman"/>
        </w:rPr>
        <w:t xml:space="preserve"> – offers assistance to students in choosing their major, setting career goals, interviewing and job hunting strategies. Students pursuing a degree program through the School of Sustainability also have access to a </w:t>
      </w:r>
      <w:hyperlink r:id="rId44" w:history="1">
        <w:r w:rsidRPr="003A6DF6">
          <w:rPr>
            <w:rFonts w:ascii="Times New Roman" w:eastAsia="Times New Roman" w:hAnsi="Times New Roman" w:cs="Times New Roman"/>
            <w:color w:val="0000FF"/>
            <w:u w:val="single"/>
          </w:rPr>
          <w:t>sustainability career advisor</w:t>
        </w:r>
      </w:hyperlink>
      <w:r w:rsidRPr="003A6DF6">
        <w:rPr>
          <w:rFonts w:ascii="Times New Roman" w:eastAsia="Times New Roman" w:hAnsi="Times New Roman" w:cs="Times New Roman"/>
        </w:rPr>
        <w:t>.</w:t>
      </w:r>
    </w:p>
    <w:p w14:paraId="0A8106E8" w14:textId="77777777" w:rsidR="003A6DF6" w:rsidRPr="003A6DF6" w:rsidRDefault="003A6DF6" w:rsidP="003A6DF6">
      <w:pPr>
        <w:numPr>
          <w:ilvl w:val="0"/>
          <w:numId w:val="4"/>
        </w:numPr>
        <w:spacing w:before="100" w:beforeAutospacing="1" w:after="100" w:afterAutospacing="1"/>
        <w:rPr>
          <w:rFonts w:ascii="Times New Roman" w:eastAsia="Times New Roman" w:hAnsi="Times New Roman" w:cs="Times New Roman"/>
        </w:rPr>
      </w:pPr>
      <w:hyperlink r:id="rId45" w:history="1">
        <w:r w:rsidRPr="003A6DF6">
          <w:rPr>
            <w:rFonts w:ascii="Times New Roman" w:eastAsia="Times New Roman" w:hAnsi="Times New Roman" w:cs="Times New Roman"/>
            <w:i/>
            <w:iCs/>
            <w:color w:val="0000FF"/>
            <w:u w:val="single"/>
          </w:rPr>
          <w:t>Counseling Services</w:t>
        </w:r>
      </w:hyperlink>
      <w:r w:rsidRPr="003A6DF6">
        <w:rPr>
          <w:rFonts w:ascii="Times New Roman" w:eastAsia="Times New Roman" w:hAnsi="Times New Roman" w:cs="Times New Roman"/>
        </w:rPr>
        <w:t xml:space="preserve"> – professional counseling and crisis services for students experiencing emotional concerns, problems in adjusting, and other factors that affect their ability to achieve their academic and personal goals. Support is available 24/7 between campus locations and EMPACT’s 24-hour ASU-dedicated crisis hotline.</w:t>
      </w:r>
    </w:p>
    <w:p w14:paraId="12F2ADDA" w14:textId="77777777" w:rsidR="003A6DF6" w:rsidRPr="003A6DF6" w:rsidRDefault="003A6DF6" w:rsidP="003A6DF6">
      <w:pPr>
        <w:numPr>
          <w:ilvl w:val="0"/>
          <w:numId w:val="4"/>
        </w:numPr>
        <w:spacing w:before="100" w:beforeAutospacing="1" w:after="100" w:afterAutospacing="1"/>
        <w:rPr>
          <w:rFonts w:ascii="Times New Roman" w:eastAsia="Times New Roman" w:hAnsi="Times New Roman" w:cs="Times New Roman"/>
        </w:rPr>
      </w:pPr>
      <w:hyperlink r:id="rId46" w:history="1">
        <w:r w:rsidRPr="003A6DF6">
          <w:rPr>
            <w:rFonts w:ascii="Times New Roman" w:eastAsia="Times New Roman" w:hAnsi="Times New Roman" w:cs="Times New Roman"/>
            <w:i/>
            <w:iCs/>
            <w:color w:val="0000FF"/>
            <w:u w:val="single"/>
          </w:rPr>
          <w:t>Financial Aid and Scholarship Services</w:t>
        </w:r>
      </w:hyperlink>
      <w:r w:rsidRPr="003A6DF6">
        <w:rPr>
          <w:rFonts w:ascii="Times New Roman" w:eastAsia="Times New Roman" w:hAnsi="Times New Roman" w:cs="Times New Roman"/>
        </w:rPr>
        <w:t xml:space="preserve"> – offers information and applications for student funding such as grants, loans, scholarships and student employment.</w:t>
      </w:r>
    </w:p>
    <w:p w14:paraId="0304472F" w14:textId="77777777" w:rsidR="003A6DF6" w:rsidRPr="003A6DF6" w:rsidRDefault="003A6DF6" w:rsidP="003A6DF6">
      <w:pPr>
        <w:numPr>
          <w:ilvl w:val="0"/>
          <w:numId w:val="4"/>
        </w:numPr>
        <w:spacing w:before="100" w:beforeAutospacing="1" w:after="100" w:afterAutospacing="1"/>
        <w:rPr>
          <w:rFonts w:ascii="Times New Roman" w:eastAsia="Times New Roman" w:hAnsi="Times New Roman" w:cs="Times New Roman"/>
        </w:rPr>
      </w:pPr>
      <w:hyperlink r:id="rId47" w:history="1">
        <w:r w:rsidRPr="003A6DF6">
          <w:rPr>
            <w:rFonts w:ascii="Times New Roman" w:eastAsia="Times New Roman" w:hAnsi="Times New Roman" w:cs="Times New Roman"/>
            <w:i/>
            <w:iCs/>
            <w:color w:val="0000FF"/>
            <w:u w:val="single"/>
          </w:rPr>
          <w:t>GPA Calculator</w:t>
        </w:r>
      </w:hyperlink>
      <w:r w:rsidRPr="003A6DF6">
        <w:rPr>
          <w:rFonts w:ascii="Times New Roman" w:eastAsia="Times New Roman" w:hAnsi="Times New Roman" w:cs="Times New Roman"/>
        </w:rPr>
        <w:t xml:space="preserve"> – students can use this calculator to project their GPA.</w:t>
      </w:r>
    </w:p>
    <w:p w14:paraId="562B9862" w14:textId="77777777" w:rsidR="003A6DF6" w:rsidRPr="003A6DF6" w:rsidRDefault="003A6DF6" w:rsidP="003A6DF6">
      <w:pPr>
        <w:numPr>
          <w:ilvl w:val="0"/>
          <w:numId w:val="4"/>
        </w:numPr>
        <w:spacing w:before="100" w:beforeAutospacing="1" w:after="100" w:afterAutospacing="1"/>
        <w:rPr>
          <w:rFonts w:ascii="Times New Roman" w:eastAsia="Times New Roman" w:hAnsi="Times New Roman" w:cs="Times New Roman"/>
        </w:rPr>
      </w:pPr>
      <w:hyperlink r:id="rId48" w:history="1">
        <w:r w:rsidRPr="003A6DF6">
          <w:rPr>
            <w:rFonts w:ascii="Times New Roman" w:eastAsia="Times New Roman" w:hAnsi="Times New Roman" w:cs="Times New Roman"/>
            <w:i/>
            <w:iCs/>
            <w:color w:val="0000FF"/>
            <w:u w:val="single"/>
          </w:rPr>
          <w:t>Health Services</w:t>
        </w:r>
      </w:hyperlink>
      <w:r w:rsidRPr="003A6DF6">
        <w:rPr>
          <w:rFonts w:ascii="Times New Roman" w:eastAsia="Times New Roman" w:hAnsi="Times New Roman" w:cs="Times New Roman"/>
        </w:rPr>
        <w:t xml:space="preserve"> – provides non-emergency medical health care to all ground campus ASU students regardless of insurance status. Most visits with a physician or nurse practitioner are free of charge, but fees will be incurred for x-rays, lab results, etc.,</w:t>
      </w:r>
    </w:p>
    <w:p w14:paraId="6181DE4A" w14:textId="77777777" w:rsidR="003A6DF6" w:rsidRPr="003A6DF6" w:rsidRDefault="003A6DF6" w:rsidP="003A6DF6">
      <w:pPr>
        <w:numPr>
          <w:ilvl w:val="0"/>
          <w:numId w:val="4"/>
        </w:numPr>
        <w:spacing w:before="100" w:beforeAutospacing="1" w:after="100" w:afterAutospacing="1"/>
        <w:rPr>
          <w:rFonts w:ascii="Times New Roman" w:eastAsia="Times New Roman" w:hAnsi="Times New Roman" w:cs="Times New Roman"/>
        </w:rPr>
      </w:pPr>
      <w:hyperlink r:id="rId49" w:history="1">
        <w:r w:rsidRPr="003A6DF6">
          <w:rPr>
            <w:rFonts w:ascii="Times New Roman" w:eastAsia="Times New Roman" w:hAnsi="Times New Roman" w:cs="Times New Roman"/>
            <w:i/>
            <w:iCs/>
            <w:color w:val="0000FF"/>
            <w:u w:val="single"/>
          </w:rPr>
          <w:t>Libraries</w:t>
        </w:r>
      </w:hyperlink>
      <w:r w:rsidRPr="003A6DF6">
        <w:rPr>
          <w:rFonts w:ascii="Times New Roman" w:eastAsia="Times New Roman" w:hAnsi="Times New Roman" w:cs="Times New Roman"/>
        </w:rPr>
        <w:t xml:space="preserve"> - offers 24/7 access to librarians through "Ask a Librarian" online chat and help by librarians in person at the Reference Desk during most hours the libraries are open.</w:t>
      </w:r>
    </w:p>
    <w:p w14:paraId="4E39A2EF" w14:textId="77777777" w:rsidR="003A6DF6" w:rsidRPr="003A6DF6" w:rsidRDefault="003A6DF6" w:rsidP="003A6DF6">
      <w:pPr>
        <w:numPr>
          <w:ilvl w:val="0"/>
          <w:numId w:val="4"/>
        </w:numPr>
        <w:spacing w:before="100" w:beforeAutospacing="1" w:after="100" w:afterAutospacing="1"/>
        <w:rPr>
          <w:rFonts w:ascii="Times New Roman" w:eastAsia="Times New Roman" w:hAnsi="Times New Roman" w:cs="Times New Roman"/>
        </w:rPr>
      </w:pPr>
      <w:hyperlink r:id="rId50" w:history="1">
        <w:r w:rsidRPr="003A6DF6">
          <w:rPr>
            <w:rFonts w:ascii="Times New Roman" w:eastAsia="Times New Roman" w:hAnsi="Times New Roman" w:cs="Times New Roman"/>
            <w:i/>
            <w:iCs/>
            <w:color w:val="0000FF"/>
            <w:u w:val="single"/>
          </w:rPr>
          <w:t>ASU Online Students</w:t>
        </w:r>
      </w:hyperlink>
      <w:r w:rsidRPr="003A6DF6">
        <w:rPr>
          <w:rFonts w:ascii="Times New Roman" w:eastAsia="Times New Roman" w:hAnsi="Times New Roman" w:cs="Times New Roman"/>
        </w:rPr>
        <w:t xml:space="preserve"> – students pursuing fully online programs have access to success coaches and additional tips for success.</w:t>
      </w:r>
    </w:p>
    <w:p w14:paraId="142C93CD" w14:textId="77777777" w:rsidR="003A6DF6" w:rsidRPr="003A6DF6" w:rsidRDefault="003A6DF6" w:rsidP="003A6DF6">
      <w:pPr>
        <w:numPr>
          <w:ilvl w:val="0"/>
          <w:numId w:val="4"/>
        </w:numPr>
        <w:spacing w:before="100" w:beforeAutospacing="1" w:after="100" w:afterAutospacing="1"/>
        <w:rPr>
          <w:rFonts w:ascii="Times New Roman" w:eastAsia="Times New Roman" w:hAnsi="Times New Roman" w:cs="Times New Roman"/>
        </w:rPr>
      </w:pPr>
      <w:hyperlink r:id="rId51" w:history="1">
        <w:r w:rsidRPr="003A6DF6">
          <w:rPr>
            <w:rFonts w:ascii="Times New Roman" w:eastAsia="Times New Roman" w:hAnsi="Times New Roman" w:cs="Times New Roman"/>
            <w:i/>
            <w:iCs/>
            <w:color w:val="0000FF"/>
            <w:u w:val="single"/>
          </w:rPr>
          <w:t>Sun Devil Fitness</w:t>
        </w:r>
      </w:hyperlink>
      <w:r w:rsidRPr="003A6DF6">
        <w:rPr>
          <w:rFonts w:ascii="Times New Roman" w:eastAsia="Times New Roman" w:hAnsi="Times New Roman" w:cs="Times New Roman"/>
        </w:rPr>
        <w:t xml:space="preserve"> – offers individual and group fitness opportunities, as well as information on nutrition and wellness, and massages. Use of the general facilities (weights, circuit training and cardio machines) are free, other services (yoga classes, massages) are fee-based.</w:t>
      </w:r>
    </w:p>
    <w:p w14:paraId="0D2EE54F" w14:textId="77777777" w:rsidR="003A6DF6" w:rsidRPr="003A6DF6" w:rsidRDefault="003A6DF6" w:rsidP="003A6DF6">
      <w:pPr>
        <w:numPr>
          <w:ilvl w:val="0"/>
          <w:numId w:val="4"/>
        </w:numPr>
        <w:spacing w:before="100" w:beforeAutospacing="1" w:after="100" w:afterAutospacing="1"/>
        <w:rPr>
          <w:rFonts w:ascii="Times New Roman" w:eastAsia="Times New Roman" w:hAnsi="Times New Roman" w:cs="Times New Roman"/>
        </w:rPr>
      </w:pPr>
      <w:hyperlink r:id="rId52" w:history="1">
        <w:r w:rsidRPr="003A6DF6">
          <w:rPr>
            <w:rFonts w:ascii="Times New Roman" w:eastAsia="Times New Roman" w:hAnsi="Times New Roman" w:cs="Times New Roman"/>
            <w:i/>
            <w:iCs/>
            <w:color w:val="0000FF"/>
            <w:u w:val="single"/>
          </w:rPr>
          <w:t>Tutoring and Writing Centers</w:t>
        </w:r>
      </w:hyperlink>
      <w:r w:rsidRPr="003A6DF6">
        <w:rPr>
          <w:rFonts w:ascii="Times New Roman" w:eastAsia="Times New Roman" w:hAnsi="Times New Roman" w:cs="Times New Roman"/>
        </w:rPr>
        <w:t xml:space="preserve"> – provides students with academic support services such as tutoring, peer advising, computer assisted instruction, writing support, and supplemental instruction</w:t>
      </w:r>
    </w:p>
    <w:p w14:paraId="5B1FC643" w14:textId="77777777" w:rsidR="003A6DF6" w:rsidRPr="003A6DF6" w:rsidRDefault="003A6DF6" w:rsidP="003A6DF6">
      <w:pPr>
        <w:numPr>
          <w:ilvl w:val="0"/>
          <w:numId w:val="4"/>
        </w:numPr>
        <w:spacing w:before="100" w:beforeAutospacing="1" w:after="100" w:afterAutospacing="1"/>
        <w:rPr>
          <w:rFonts w:ascii="Times New Roman" w:eastAsia="Times New Roman" w:hAnsi="Times New Roman" w:cs="Times New Roman"/>
        </w:rPr>
      </w:pPr>
      <w:hyperlink r:id="rId53" w:history="1">
        <w:r w:rsidRPr="003A6DF6">
          <w:rPr>
            <w:rFonts w:ascii="Times New Roman" w:eastAsia="Times New Roman" w:hAnsi="Times New Roman" w:cs="Times New Roman"/>
            <w:i/>
            <w:iCs/>
            <w:color w:val="0000FF"/>
            <w:u w:val="single"/>
          </w:rPr>
          <w:t>Contact Arizona State University</w:t>
        </w:r>
      </w:hyperlink>
      <w:r w:rsidRPr="003A6DF6">
        <w:rPr>
          <w:rFonts w:ascii="Times New Roman" w:eastAsia="Times New Roman" w:hAnsi="Times New Roman" w:cs="Times New Roman"/>
        </w:rPr>
        <w:t xml:space="preserve"> – provides frequently asked question resources and contact information for new questions.</w:t>
      </w:r>
    </w:p>
    <w:p w14:paraId="3802C5BA" w14:textId="77777777" w:rsidR="00607B1D" w:rsidRDefault="00607B1D"/>
    <w:sectPr w:rsidR="00607B1D" w:rsidSect="003462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F24E59"/>
    <w:multiLevelType w:val="multilevel"/>
    <w:tmpl w:val="FAD45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1C7381"/>
    <w:multiLevelType w:val="multilevel"/>
    <w:tmpl w:val="CBEA8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6B6FC5"/>
    <w:multiLevelType w:val="multilevel"/>
    <w:tmpl w:val="39562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FAD5A68"/>
    <w:multiLevelType w:val="multilevel"/>
    <w:tmpl w:val="22987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DF6"/>
    <w:rsid w:val="003462F2"/>
    <w:rsid w:val="003A6DF6"/>
    <w:rsid w:val="00607B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406CB7"/>
  <w15:chartTrackingRefBased/>
  <w15:docId w15:val="{7A7F41E1-3214-0C45-AB0A-08D4AE481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A6DF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3A6DF6"/>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A6DF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3A6DF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3A6DF6"/>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3A6DF6"/>
    <w:rPr>
      <w:b/>
      <w:bCs/>
    </w:rPr>
  </w:style>
  <w:style w:type="character" w:styleId="Hyperlink">
    <w:name w:val="Hyperlink"/>
    <w:basedOn w:val="DefaultParagraphFont"/>
    <w:uiPriority w:val="99"/>
    <w:semiHidden/>
    <w:unhideWhenUsed/>
    <w:rsid w:val="003A6DF6"/>
    <w:rPr>
      <w:color w:val="0000FF"/>
      <w:u w:val="single"/>
    </w:rPr>
  </w:style>
  <w:style w:type="character" w:styleId="Emphasis">
    <w:name w:val="Emphasis"/>
    <w:basedOn w:val="DefaultParagraphFont"/>
    <w:uiPriority w:val="20"/>
    <w:qFormat/>
    <w:rsid w:val="003A6DF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7076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oss.asu.edu/drc" TargetMode="External"/><Relationship Id="rId18" Type="http://schemas.openxmlformats.org/officeDocument/2006/relationships/hyperlink" Target="http://www.asu.edu/aad/manuals/ssm/ssm104-02.html" TargetMode="External"/><Relationship Id="rId26" Type="http://schemas.openxmlformats.org/officeDocument/2006/relationships/hyperlink" Target="https://schoolofsustainability.asu.edu/student-life/graduate-policies-procedures-forms/" TargetMode="External"/><Relationship Id="rId39" Type="http://schemas.openxmlformats.org/officeDocument/2006/relationships/hyperlink" Target="https://cfo.asu.edu/livesafe-mobile-app" TargetMode="External"/><Relationship Id="rId21" Type="http://schemas.openxmlformats.org/officeDocument/2006/relationships/hyperlink" Target="https://eoss.asu.edu/counseling" TargetMode="External"/><Relationship Id="rId34" Type="http://schemas.openxmlformats.org/officeDocument/2006/relationships/hyperlink" Target="http://www.asu.edu/aad/manuals/ssm/ssm107-03.html" TargetMode="External"/><Relationship Id="rId42" Type="http://schemas.openxmlformats.org/officeDocument/2006/relationships/hyperlink" Target="mailto:schoolofsustainability@asu.edu" TargetMode="External"/><Relationship Id="rId47" Type="http://schemas.openxmlformats.org/officeDocument/2006/relationships/hyperlink" Target="https://students.asu.edu/gpa-calculator" TargetMode="External"/><Relationship Id="rId50" Type="http://schemas.openxmlformats.org/officeDocument/2006/relationships/hyperlink" Target="https://currentstudent.asuonline.asu.edu/" TargetMode="External"/><Relationship Id="rId55" Type="http://schemas.openxmlformats.org/officeDocument/2006/relationships/theme" Target="theme/theme1.xml"/><Relationship Id="rId7" Type="http://schemas.openxmlformats.org/officeDocument/2006/relationships/hyperlink" Target="http://my.asu.edu" TargetMode="External"/><Relationship Id="rId2" Type="http://schemas.openxmlformats.org/officeDocument/2006/relationships/styles" Target="styles.xml"/><Relationship Id="rId16" Type="http://schemas.openxmlformats.org/officeDocument/2006/relationships/hyperlink" Target="https://eoss.asu.edu/dos/srr/filingreport" TargetMode="External"/><Relationship Id="rId29" Type="http://schemas.openxmlformats.org/officeDocument/2006/relationships/hyperlink" Target="https://www.mozilla.org/en-US/firefox/new/" TargetMode="External"/><Relationship Id="rId11" Type="http://schemas.openxmlformats.org/officeDocument/2006/relationships/hyperlink" Target="http://www.asu.edu/aad/manuals/acd/acd304-02.html" TargetMode="External"/><Relationship Id="rId24" Type="http://schemas.openxmlformats.org/officeDocument/2006/relationships/hyperlink" Target="https://catalog.asu.edu/appeal" TargetMode="External"/><Relationship Id="rId32" Type="http://schemas.openxmlformats.org/officeDocument/2006/relationships/hyperlink" Target="https://get.adobe.com/flashplayer/" TargetMode="External"/><Relationship Id="rId37" Type="http://schemas.openxmlformats.org/officeDocument/2006/relationships/hyperlink" Target="https://uto.asu.edu/system-health" TargetMode="External"/><Relationship Id="rId40" Type="http://schemas.openxmlformats.org/officeDocument/2006/relationships/hyperlink" Target="https://uto.asu.edu/system-health" TargetMode="External"/><Relationship Id="rId45" Type="http://schemas.openxmlformats.org/officeDocument/2006/relationships/hyperlink" Target="https://eoss.asu.edu/counseling" TargetMode="External"/><Relationship Id="rId53" Type="http://schemas.openxmlformats.org/officeDocument/2006/relationships/hyperlink" Target="https://contact.asu.edu/" TargetMode="External"/><Relationship Id="rId5" Type="http://schemas.openxmlformats.org/officeDocument/2006/relationships/hyperlink" Target="mailto:candice.carr.kelman@asu.edu" TargetMode="External"/><Relationship Id="rId10" Type="http://schemas.openxmlformats.org/officeDocument/2006/relationships/hyperlink" Target="http://www.asu.edu/aad/manuals/acd/acd304-04.html" TargetMode="External"/><Relationship Id="rId19" Type="http://schemas.openxmlformats.org/officeDocument/2006/relationships/hyperlink" Target="http://www.asu.edu/aad/manuals/acd/acd401.html" TargetMode="External"/><Relationship Id="rId31" Type="http://schemas.openxmlformats.org/officeDocument/2006/relationships/hyperlink" Target="https://get.adobe.com/reader/" TargetMode="External"/><Relationship Id="rId44" Type="http://schemas.openxmlformats.org/officeDocument/2006/relationships/hyperlink" Target="https://schoolofsustainability.asu.edu/careers/career-advising/" TargetMode="External"/><Relationship Id="rId52" Type="http://schemas.openxmlformats.org/officeDocument/2006/relationships/hyperlink" Target="https://tutoring.asu.edu/" TargetMode="External"/><Relationship Id="rId4" Type="http://schemas.openxmlformats.org/officeDocument/2006/relationships/webSettings" Target="webSettings.xml"/><Relationship Id="rId9" Type="http://schemas.openxmlformats.org/officeDocument/2006/relationships/hyperlink" Target="https://community.canvaslms.com/docs/DOC-10622-4212717410" TargetMode="External"/><Relationship Id="rId14" Type="http://schemas.openxmlformats.org/officeDocument/2006/relationships/hyperlink" Target="https://eoss.asu.edu/dos/srr/codeofconduct" TargetMode="External"/><Relationship Id="rId22" Type="http://schemas.openxmlformats.org/officeDocument/2006/relationships/hyperlink" Target="https://students.asu.edu/academic-calendar" TargetMode="External"/><Relationship Id="rId27" Type="http://schemas.openxmlformats.org/officeDocument/2006/relationships/hyperlink" Target="https://www.google.com/chrome/" TargetMode="External"/><Relationship Id="rId30" Type="http://schemas.openxmlformats.org/officeDocument/2006/relationships/hyperlink" Target="http://www.apple.com/safari/" TargetMode="External"/><Relationship Id="rId35" Type="http://schemas.openxmlformats.org/officeDocument/2006/relationships/hyperlink" Target="https://my.asu.edu" TargetMode="External"/><Relationship Id="rId43" Type="http://schemas.openxmlformats.org/officeDocument/2006/relationships/hyperlink" Target="https://eoss.asu.edu/cs" TargetMode="External"/><Relationship Id="rId48" Type="http://schemas.openxmlformats.org/officeDocument/2006/relationships/hyperlink" Target="https://eoss.asu.edu/health" TargetMode="External"/><Relationship Id="rId8" Type="http://schemas.openxmlformats.org/officeDocument/2006/relationships/hyperlink" Target="http://www.thetimezoneconverter.com/" TargetMode="External"/><Relationship Id="rId51" Type="http://schemas.openxmlformats.org/officeDocument/2006/relationships/hyperlink" Target="https://fitness.asu.edu/" TargetMode="External"/><Relationship Id="rId3" Type="http://schemas.openxmlformats.org/officeDocument/2006/relationships/settings" Target="settings.xml"/><Relationship Id="rId12" Type="http://schemas.openxmlformats.org/officeDocument/2006/relationships/hyperlink" Target="https://uoeee.asu.edu/online-course-evaluation-faqs" TargetMode="External"/><Relationship Id="rId17" Type="http://schemas.openxmlformats.org/officeDocument/2006/relationships/hyperlink" Target="http://www.asu.edu/aad/manuals/ssm/ssm201-10.html" TargetMode="External"/><Relationship Id="rId25" Type="http://schemas.openxmlformats.org/officeDocument/2006/relationships/hyperlink" Target="https://schoolofsustainability.asu.edu/student-life/undergraduate-policies-procedures-forms/" TargetMode="External"/><Relationship Id="rId33" Type="http://schemas.openxmlformats.org/officeDocument/2006/relationships/hyperlink" Target="https://asu.secure.force.com/kb/articles/FAQ/How-do-I-get-Microsoft-Office-365" TargetMode="External"/><Relationship Id="rId38" Type="http://schemas.openxmlformats.org/officeDocument/2006/relationships/hyperlink" Target="https://ucc.asu.edu/sites/hours-and-locations/tempe-locations/" TargetMode="External"/><Relationship Id="rId46" Type="http://schemas.openxmlformats.org/officeDocument/2006/relationships/hyperlink" Target="https://students.asu.edu/financialaid" TargetMode="External"/><Relationship Id="rId20" Type="http://schemas.openxmlformats.org/officeDocument/2006/relationships/hyperlink" Target="https://sexualviolenceprevention.asu.edu/" TargetMode="External"/><Relationship Id="rId41" Type="http://schemas.openxmlformats.org/officeDocument/2006/relationships/hyperlink" Target="https://schoolofsustainability.asu.edu/"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mlschoon@asu.edu" TargetMode="External"/><Relationship Id="rId15" Type="http://schemas.openxmlformats.org/officeDocument/2006/relationships/hyperlink" Target="https://provost.asu.edu/academic-integrity" TargetMode="External"/><Relationship Id="rId23" Type="http://schemas.openxmlformats.org/officeDocument/2006/relationships/hyperlink" Target="http://students.asu.edu/drop-add" TargetMode="External"/><Relationship Id="rId28" Type="http://schemas.openxmlformats.org/officeDocument/2006/relationships/hyperlink" Target="https://support.microsoft.com/en-us/products/internet-explorer" TargetMode="External"/><Relationship Id="rId36" Type="http://schemas.openxmlformats.org/officeDocument/2006/relationships/hyperlink" Target="https://contact.asu.edu" TargetMode="External"/><Relationship Id="rId49" Type="http://schemas.openxmlformats.org/officeDocument/2006/relationships/hyperlink" Target="https://lib.as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4477</Words>
  <Characters>25523</Characters>
  <Application>Microsoft Office Word</Application>
  <DocSecurity>0</DocSecurity>
  <Lines>212</Lines>
  <Paragraphs>59</Paragraphs>
  <ScaleCrop>false</ScaleCrop>
  <Company/>
  <LinksUpToDate>false</LinksUpToDate>
  <CharactersWithSpaces>29941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Schoon</dc:creator>
  <cp:keywords/>
  <dc:description/>
  <cp:lastModifiedBy>Michael Schoon</cp:lastModifiedBy>
  <cp:revision>1</cp:revision>
  <dcterms:created xsi:type="dcterms:W3CDTF">2020-03-20T21:20:00Z</dcterms:created>
  <dcterms:modified xsi:type="dcterms:W3CDTF">2020-03-20T21:21:00Z</dcterms:modified>
</cp:coreProperties>
</file>